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DDCC8" w14:textId="77777777" w:rsidR="00862026" w:rsidRDefault="00000000">
      <w:pPr>
        <w:spacing w:before="83"/>
        <w:ind w:right="117"/>
        <w:jc w:val="right"/>
        <w:rPr>
          <w:rFonts w:ascii="Arial" w:hAnsi="Arial"/>
          <w:b/>
          <w:sz w:val="20"/>
        </w:rPr>
      </w:pPr>
      <w:r>
        <w:rPr>
          <w:rFonts w:ascii="Arial" w:hAnsi="Arial"/>
          <w:b/>
          <w:color w:val="585858"/>
          <w:sz w:val="20"/>
        </w:rPr>
        <w:t>COMMUNIQUÉ</w:t>
      </w:r>
      <w:r>
        <w:rPr>
          <w:rFonts w:ascii="Arial" w:hAnsi="Arial"/>
          <w:b/>
          <w:color w:val="585858"/>
          <w:spacing w:val="-7"/>
          <w:sz w:val="20"/>
        </w:rPr>
        <w:t xml:space="preserve"> </w:t>
      </w:r>
      <w:r>
        <w:rPr>
          <w:rFonts w:ascii="Arial" w:hAnsi="Arial"/>
          <w:b/>
          <w:color w:val="585858"/>
          <w:sz w:val="20"/>
        </w:rPr>
        <w:t>DE</w:t>
      </w:r>
      <w:r>
        <w:rPr>
          <w:rFonts w:ascii="Arial" w:hAnsi="Arial"/>
          <w:b/>
          <w:color w:val="585858"/>
          <w:spacing w:val="-5"/>
          <w:sz w:val="20"/>
        </w:rPr>
        <w:t xml:space="preserve"> </w:t>
      </w:r>
      <w:r>
        <w:rPr>
          <w:rFonts w:ascii="Arial" w:hAnsi="Arial"/>
          <w:b/>
          <w:color w:val="585858"/>
          <w:spacing w:val="-2"/>
          <w:sz w:val="20"/>
        </w:rPr>
        <w:t>PRESSE</w:t>
      </w:r>
    </w:p>
    <w:p w14:paraId="499BC9A9" w14:textId="77777777" w:rsidR="00862026" w:rsidRDefault="00000000">
      <w:pPr>
        <w:pStyle w:val="Corpsdetexte"/>
        <w:spacing w:before="34"/>
        <w:ind w:left="0" w:right="112"/>
        <w:jc w:val="right"/>
      </w:pPr>
      <w:r>
        <w:rPr>
          <w:color w:val="585858"/>
        </w:rPr>
        <w:t>18</w:t>
      </w:r>
      <w:r>
        <w:rPr>
          <w:color w:val="585858"/>
          <w:spacing w:val="-3"/>
        </w:rPr>
        <w:t xml:space="preserve"> </w:t>
      </w:r>
      <w:r>
        <w:rPr>
          <w:color w:val="585858"/>
        </w:rPr>
        <w:t>mai</w:t>
      </w:r>
      <w:r>
        <w:rPr>
          <w:color w:val="585858"/>
          <w:spacing w:val="-1"/>
        </w:rPr>
        <w:t xml:space="preserve"> </w:t>
      </w:r>
      <w:r>
        <w:rPr>
          <w:color w:val="585858"/>
          <w:spacing w:val="-4"/>
        </w:rPr>
        <w:t>2026</w:t>
      </w:r>
    </w:p>
    <w:p w14:paraId="78942C89" w14:textId="77777777" w:rsidR="00862026" w:rsidRDefault="00862026">
      <w:pPr>
        <w:pStyle w:val="Corpsdetexte"/>
        <w:ind w:left="0"/>
        <w:jc w:val="left"/>
      </w:pPr>
    </w:p>
    <w:p w14:paraId="677D834C" w14:textId="77777777" w:rsidR="00862026" w:rsidRDefault="00862026">
      <w:pPr>
        <w:pStyle w:val="Corpsdetexte"/>
        <w:ind w:left="0"/>
        <w:jc w:val="left"/>
      </w:pPr>
    </w:p>
    <w:p w14:paraId="5522DA71" w14:textId="77777777" w:rsidR="00862026" w:rsidRDefault="00862026">
      <w:pPr>
        <w:pStyle w:val="Corpsdetexte"/>
        <w:spacing w:before="81"/>
        <w:ind w:left="0"/>
        <w:jc w:val="left"/>
      </w:pPr>
    </w:p>
    <w:p w14:paraId="3523071B" w14:textId="77777777" w:rsidR="00862026" w:rsidRDefault="00000000">
      <w:pPr>
        <w:pStyle w:val="Titre"/>
        <w:spacing w:line="276" w:lineRule="auto"/>
      </w:pPr>
      <w:r>
        <w:t>La</w:t>
      </w:r>
      <w:proofErr w:type="gramStart"/>
      <w:r>
        <w:rPr>
          <w:spacing w:val="-7"/>
        </w:rPr>
        <w:t xml:space="preserve"> </w:t>
      </w:r>
      <w:r>
        <w:t>«Porcelaine</w:t>
      </w:r>
      <w:proofErr w:type="gramEnd"/>
      <w:r>
        <w:rPr>
          <w:spacing w:val="-6"/>
        </w:rPr>
        <w:t xml:space="preserve"> </w:t>
      </w:r>
      <w:r>
        <w:t>de</w:t>
      </w:r>
      <w:r>
        <w:rPr>
          <w:spacing w:val="-6"/>
        </w:rPr>
        <w:t xml:space="preserve"> </w:t>
      </w:r>
      <w:proofErr w:type="gramStart"/>
      <w:r>
        <w:t>Limoges»</w:t>
      </w:r>
      <w:proofErr w:type="gramEnd"/>
      <w:r>
        <w:t>,</w:t>
      </w:r>
      <w:r>
        <w:rPr>
          <w:spacing w:val="-5"/>
        </w:rPr>
        <w:t xml:space="preserve"> </w:t>
      </w:r>
      <w:r>
        <w:t>première</w:t>
      </w:r>
      <w:r>
        <w:rPr>
          <w:spacing w:val="-6"/>
        </w:rPr>
        <w:t xml:space="preserve"> </w:t>
      </w:r>
      <w:r>
        <w:t>indication géographique pour des produits artisanaux et industriels enregistrée dans l’UE</w:t>
      </w:r>
    </w:p>
    <w:p w14:paraId="1BD4596C" w14:textId="77777777" w:rsidR="00862026" w:rsidRDefault="00000000">
      <w:pPr>
        <w:pStyle w:val="Paragraphedeliste"/>
        <w:numPr>
          <w:ilvl w:val="0"/>
          <w:numId w:val="1"/>
        </w:numPr>
        <w:tabs>
          <w:tab w:val="left" w:pos="743"/>
        </w:tabs>
        <w:spacing w:before="306" w:line="273" w:lineRule="auto"/>
        <w:ind w:right="965"/>
        <w:rPr>
          <w:b/>
        </w:rPr>
      </w:pPr>
      <w:r>
        <w:rPr>
          <w:b/>
        </w:rPr>
        <w:t>Réputée</w:t>
      </w:r>
      <w:r>
        <w:rPr>
          <w:b/>
          <w:spacing w:val="-3"/>
        </w:rPr>
        <w:t xml:space="preserve"> </w:t>
      </w:r>
      <w:r>
        <w:rPr>
          <w:b/>
        </w:rPr>
        <w:t>dans</w:t>
      </w:r>
      <w:r>
        <w:rPr>
          <w:b/>
          <w:spacing w:val="-5"/>
        </w:rPr>
        <w:t xml:space="preserve"> </w:t>
      </w:r>
      <w:r>
        <w:rPr>
          <w:b/>
        </w:rPr>
        <w:t>le</w:t>
      </w:r>
      <w:r>
        <w:rPr>
          <w:b/>
          <w:spacing w:val="-5"/>
        </w:rPr>
        <w:t xml:space="preserve"> </w:t>
      </w:r>
      <w:r>
        <w:rPr>
          <w:b/>
        </w:rPr>
        <w:t>monde</w:t>
      </w:r>
      <w:r>
        <w:rPr>
          <w:b/>
          <w:spacing w:val="-3"/>
        </w:rPr>
        <w:t xml:space="preserve"> </w:t>
      </w:r>
      <w:r>
        <w:rPr>
          <w:b/>
        </w:rPr>
        <w:t>entier,</w:t>
      </w:r>
      <w:r>
        <w:rPr>
          <w:b/>
          <w:spacing w:val="-3"/>
        </w:rPr>
        <w:t xml:space="preserve"> </w:t>
      </w:r>
      <w:r>
        <w:rPr>
          <w:b/>
        </w:rPr>
        <w:t>la</w:t>
      </w:r>
      <w:proofErr w:type="gramStart"/>
      <w:r>
        <w:rPr>
          <w:b/>
          <w:spacing w:val="-3"/>
        </w:rPr>
        <w:t xml:space="preserve"> </w:t>
      </w:r>
      <w:r>
        <w:rPr>
          <w:b/>
        </w:rPr>
        <w:t>«Porcelaine</w:t>
      </w:r>
      <w:proofErr w:type="gramEnd"/>
      <w:r>
        <w:rPr>
          <w:b/>
          <w:spacing w:val="-7"/>
        </w:rPr>
        <w:t xml:space="preserve"> </w:t>
      </w:r>
      <w:r>
        <w:rPr>
          <w:b/>
        </w:rPr>
        <w:t>de</w:t>
      </w:r>
      <w:r>
        <w:rPr>
          <w:b/>
          <w:spacing w:val="-3"/>
        </w:rPr>
        <w:t xml:space="preserve"> </w:t>
      </w:r>
      <w:proofErr w:type="gramStart"/>
      <w:r>
        <w:rPr>
          <w:b/>
        </w:rPr>
        <w:t>Limoges»</w:t>
      </w:r>
      <w:proofErr w:type="gramEnd"/>
      <w:r>
        <w:rPr>
          <w:b/>
          <w:spacing w:val="-2"/>
        </w:rPr>
        <w:t xml:space="preserve"> </w:t>
      </w:r>
      <w:r>
        <w:rPr>
          <w:b/>
        </w:rPr>
        <w:t>atteste</w:t>
      </w:r>
      <w:r>
        <w:rPr>
          <w:b/>
          <w:spacing w:val="-3"/>
        </w:rPr>
        <w:t xml:space="preserve"> </w:t>
      </w:r>
      <w:r>
        <w:rPr>
          <w:b/>
        </w:rPr>
        <w:t>une authenticité et un savoir-faire préservés pendant plus de deux siècles</w:t>
      </w:r>
    </w:p>
    <w:p w14:paraId="3C774A11" w14:textId="77777777" w:rsidR="00862026" w:rsidRDefault="00000000">
      <w:pPr>
        <w:pStyle w:val="Paragraphedeliste"/>
        <w:numPr>
          <w:ilvl w:val="0"/>
          <w:numId w:val="1"/>
        </w:numPr>
        <w:tabs>
          <w:tab w:val="left" w:pos="743"/>
        </w:tabs>
        <w:spacing w:line="273" w:lineRule="auto"/>
        <w:ind w:right="437"/>
        <w:rPr>
          <w:b/>
        </w:rPr>
      </w:pPr>
      <w:r>
        <w:rPr>
          <w:b/>
        </w:rPr>
        <w:t>L’enregistrement</w:t>
      </w:r>
      <w:r>
        <w:rPr>
          <w:b/>
          <w:spacing w:val="-4"/>
        </w:rPr>
        <w:t xml:space="preserve"> </w:t>
      </w:r>
      <w:r>
        <w:rPr>
          <w:b/>
        </w:rPr>
        <w:t>de</w:t>
      </w:r>
      <w:r>
        <w:rPr>
          <w:b/>
          <w:spacing w:val="-4"/>
        </w:rPr>
        <w:t xml:space="preserve"> </w:t>
      </w:r>
      <w:r>
        <w:rPr>
          <w:b/>
        </w:rPr>
        <w:t>la</w:t>
      </w:r>
      <w:r>
        <w:rPr>
          <w:b/>
          <w:spacing w:val="-5"/>
        </w:rPr>
        <w:t xml:space="preserve"> </w:t>
      </w:r>
      <w:r>
        <w:rPr>
          <w:b/>
        </w:rPr>
        <w:t>première</w:t>
      </w:r>
      <w:r>
        <w:rPr>
          <w:b/>
          <w:spacing w:val="-4"/>
        </w:rPr>
        <w:t xml:space="preserve"> </w:t>
      </w:r>
      <w:r>
        <w:rPr>
          <w:b/>
        </w:rPr>
        <w:t>indication</w:t>
      </w:r>
      <w:r>
        <w:rPr>
          <w:b/>
          <w:spacing w:val="-6"/>
        </w:rPr>
        <w:t xml:space="preserve"> </w:t>
      </w:r>
      <w:r>
        <w:rPr>
          <w:b/>
        </w:rPr>
        <w:t>géographique</w:t>
      </w:r>
      <w:r>
        <w:rPr>
          <w:b/>
          <w:spacing w:val="-1"/>
        </w:rPr>
        <w:t xml:space="preserve"> </w:t>
      </w:r>
      <w:r>
        <w:rPr>
          <w:b/>
        </w:rPr>
        <w:t>pour</w:t>
      </w:r>
      <w:r>
        <w:rPr>
          <w:b/>
          <w:spacing w:val="-2"/>
        </w:rPr>
        <w:t xml:space="preserve"> </w:t>
      </w:r>
      <w:r>
        <w:rPr>
          <w:b/>
        </w:rPr>
        <w:t>des</w:t>
      </w:r>
      <w:r>
        <w:rPr>
          <w:b/>
          <w:spacing w:val="-5"/>
        </w:rPr>
        <w:t xml:space="preserve"> </w:t>
      </w:r>
      <w:r>
        <w:rPr>
          <w:b/>
        </w:rPr>
        <w:t>produits artisanaux et industriels à l’échelle de l’UE traduit l’engagement de l’UE à protéger le riche patrimoine artisanal européen</w:t>
      </w:r>
    </w:p>
    <w:p w14:paraId="4761531B" w14:textId="77777777" w:rsidR="00862026" w:rsidRDefault="00000000">
      <w:pPr>
        <w:pStyle w:val="Paragraphedeliste"/>
        <w:numPr>
          <w:ilvl w:val="0"/>
          <w:numId w:val="1"/>
        </w:numPr>
        <w:tabs>
          <w:tab w:val="left" w:pos="743"/>
        </w:tabs>
        <w:spacing w:before="4" w:line="273" w:lineRule="auto"/>
        <w:rPr>
          <w:b/>
        </w:rPr>
      </w:pPr>
      <w:r>
        <w:rPr>
          <w:b/>
        </w:rPr>
        <w:t>Depuis décembre 2025, l’Office de l’Union européenne pour la propriété intellectuelle</w:t>
      </w:r>
      <w:r>
        <w:rPr>
          <w:b/>
          <w:spacing w:val="-5"/>
        </w:rPr>
        <w:t xml:space="preserve"> </w:t>
      </w:r>
      <w:r>
        <w:rPr>
          <w:b/>
        </w:rPr>
        <w:t>(EUIPO)</w:t>
      </w:r>
      <w:r>
        <w:rPr>
          <w:b/>
          <w:spacing w:val="-2"/>
        </w:rPr>
        <w:t xml:space="preserve"> </w:t>
      </w:r>
      <w:r>
        <w:rPr>
          <w:b/>
        </w:rPr>
        <w:t>est</w:t>
      </w:r>
      <w:r>
        <w:rPr>
          <w:b/>
          <w:spacing w:val="-2"/>
        </w:rPr>
        <w:t xml:space="preserve"> </w:t>
      </w:r>
      <w:r>
        <w:rPr>
          <w:b/>
        </w:rPr>
        <w:t>chargé</w:t>
      </w:r>
      <w:r>
        <w:rPr>
          <w:b/>
          <w:spacing w:val="-3"/>
        </w:rPr>
        <w:t xml:space="preserve"> </w:t>
      </w:r>
      <w:r>
        <w:rPr>
          <w:b/>
        </w:rPr>
        <w:t>d’administrer</w:t>
      </w:r>
      <w:r>
        <w:rPr>
          <w:b/>
          <w:spacing w:val="-3"/>
        </w:rPr>
        <w:t xml:space="preserve"> </w:t>
      </w:r>
      <w:r>
        <w:rPr>
          <w:b/>
        </w:rPr>
        <w:t>ce</w:t>
      </w:r>
      <w:r>
        <w:rPr>
          <w:b/>
          <w:spacing w:val="-3"/>
        </w:rPr>
        <w:t xml:space="preserve"> </w:t>
      </w:r>
      <w:r>
        <w:rPr>
          <w:b/>
        </w:rPr>
        <w:t>nouveau</w:t>
      </w:r>
      <w:r>
        <w:rPr>
          <w:b/>
          <w:spacing w:val="-5"/>
        </w:rPr>
        <w:t xml:space="preserve"> </w:t>
      </w:r>
      <w:r>
        <w:rPr>
          <w:b/>
        </w:rPr>
        <w:t>droit</w:t>
      </w:r>
      <w:r>
        <w:rPr>
          <w:b/>
          <w:spacing w:val="-4"/>
        </w:rPr>
        <w:t xml:space="preserve"> </w:t>
      </w:r>
      <w:r>
        <w:rPr>
          <w:b/>
        </w:rPr>
        <w:t>de</w:t>
      </w:r>
      <w:r>
        <w:rPr>
          <w:b/>
          <w:spacing w:val="-3"/>
        </w:rPr>
        <w:t xml:space="preserve"> </w:t>
      </w:r>
      <w:r>
        <w:rPr>
          <w:b/>
        </w:rPr>
        <w:t xml:space="preserve">propriété </w:t>
      </w:r>
      <w:r>
        <w:rPr>
          <w:b/>
          <w:spacing w:val="-2"/>
        </w:rPr>
        <w:t>intellectuelle</w:t>
      </w:r>
    </w:p>
    <w:p w14:paraId="7BBDFFFB" w14:textId="77777777" w:rsidR="00862026" w:rsidRDefault="00862026">
      <w:pPr>
        <w:pStyle w:val="Corpsdetexte"/>
        <w:spacing w:before="42"/>
        <w:ind w:left="0"/>
        <w:jc w:val="left"/>
        <w:rPr>
          <w:rFonts w:ascii="Arial"/>
          <w:b/>
        </w:rPr>
      </w:pPr>
    </w:p>
    <w:p w14:paraId="431243D5" w14:textId="77777777" w:rsidR="00862026" w:rsidRDefault="00000000">
      <w:pPr>
        <w:pStyle w:val="Corpsdetexte"/>
        <w:spacing w:line="276" w:lineRule="auto"/>
        <w:ind w:right="13"/>
      </w:pPr>
      <w:r>
        <w:t>La dénomination</w:t>
      </w:r>
      <w:proofErr w:type="gramStart"/>
      <w:r>
        <w:t xml:space="preserve"> «Porcelaine</w:t>
      </w:r>
      <w:proofErr w:type="gramEnd"/>
      <w:r>
        <w:t xml:space="preserve"> de </w:t>
      </w:r>
      <w:proofErr w:type="gramStart"/>
      <w:r>
        <w:t>Limoges»</w:t>
      </w:r>
      <w:proofErr w:type="gramEnd"/>
      <w:r>
        <w:t xml:space="preserve"> est à présent protégée en tant qu’indication géographique</w:t>
      </w:r>
      <w:r>
        <w:rPr>
          <w:spacing w:val="-4"/>
        </w:rPr>
        <w:t xml:space="preserve"> </w:t>
      </w:r>
      <w:r>
        <w:t>(IG),</w:t>
      </w:r>
      <w:r>
        <w:rPr>
          <w:spacing w:val="-3"/>
        </w:rPr>
        <w:t xml:space="preserve"> </w:t>
      </w:r>
      <w:r>
        <w:t>non</w:t>
      </w:r>
      <w:r>
        <w:rPr>
          <w:spacing w:val="-4"/>
        </w:rPr>
        <w:t xml:space="preserve"> </w:t>
      </w:r>
      <w:r>
        <w:t>seulement</w:t>
      </w:r>
      <w:r>
        <w:rPr>
          <w:spacing w:val="-3"/>
        </w:rPr>
        <w:t xml:space="preserve"> </w:t>
      </w:r>
      <w:r>
        <w:t>en</w:t>
      </w:r>
      <w:r>
        <w:rPr>
          <w:spacing w:val="-4"/>
        </w:rPr>
        <w:t xml:space="preserve"> </w:t>
      </w:r>
      <w:r>
        <w:t>France,</w:t>
      </w:r>
      <w:r>
        <w:rPr>
          <w:spacing w:val="-3"/>
        </w:rPr>
        <w:t xml:space="preserve"> </w:t>
      </w:r>
      <w:r>
        <w:t>mais</w:t>
      </w:r>
      <w:r>
        <w:rPr>
          <w:spacing w:val="-1"/>
        </w:rPr>
        <w:t xml:space="preserve"> </w:t>
      </w:r>
      <w:r>
        <w:t>dans</w:t>
      </w:r>
      <w:r>
        <w:rPr>
          <w:spacing w:val="-6"/>
        </w:rPr>
        <w:t xml:space="preserve"> </w:t>
      </w:r>
      <w:r>
        <w:t>toute</w:t>
      </w:r>
      <w:r>
        <w:rPr>
          <w:spacing w:val="-3"/>
        </w:rPr>
        <w:t xml:space="preserve"> </w:t>
      </w:r>
      <w:r>
        <w:t>l’Union</w:t>
      </w:r>
      <w:r>
        <w:rPr>
          <w:spacing w:val="-2"/>
        </w:rPr>
        <w:t xml:space="preserve"> </w:t>
      </w:r>
      <w:r>
        <w:t>européenne</w:t>
      </w:r>
      <w:r>
        <w:rPr>
          <w:spacing w:val="-1"/>
        </w:rPr>
        <w:t xml:space="preserve"> </w:t>
      </w:r>
      <w:r>
        <w:t>(UE),</w:t>
      </w:r>
      <w:r>
        <w:rPr>
          <w:spacing w:val="-3"/>
        </w:rPr>
        <w:t xml:space="preserve"> </w:t>
      </w:r>
      <w:r>
        <w:t>à</w:t>
      </w:r>
      <w:r>
        <w:rPr>
          <w:spacing w:val="-4"/>
        </w:rPr>
        <w:t xml:space="preserve"> </w:t>
      </w:r>
      <w:r>
        <w:t>la suite</w:t>
      </w:r>
      <w:r>
        <w:rPr>
          <w:spacing w:val="-4"/>
        </w:rPr>
        <w:t xml:space="preserve"> </w:t>
      </w:r>
      <w:r>
        <w:t>de</w:t>
      </w:r>
      <w:r>
        <w:rPr>
          <w:spacing w:val="-4"/>
        </w:rPr>
        <w:t xml:space="preserve"> </w:t>
      </w:r>
      <w:r>
        <w:t>son</w:t>
      </w:r>
      <w:r>
        <w:rPr>
          <w:spacing w:val="-4"/>
        </w:rPr>
        <w:t xml:space="preserve"> </w:t>
      </w:r>
      <w:r>
        <w:t>enregistrement</w:t>
      </w:r>
      <w:r>
        <w:rPr>
          <w:spacing w:val="-3"/>
        </w:rPr>
        <w:t xml:space="preserve"> </w:t>
      </w:r>
      <w:r>
        <w:t>au</w:t>
      </w:r>
      <w:r>
        <w:rPr>
          <w:spacing w:val="-7"/>
        </w:rPr>
        <w:t xml:space="preserve"> </w:t>
      </w:r>
      <w:r>
        <w:t>titre</w:t>
      </w:r>
      <w:r>
        <w:rPr>
          <w:spacing w:val="-4"/>
        </w:rPr>
        <w:t xml:space="preserve"> </w:t>
      </w:r>
      <w:r>
        <w:t>du</w:t>
      </w:r>
      <w:r>
        <w:rPr>
          <w:spacing w:val="-3"/>
        </w:rPr>
        <w:t xml:space="preserve"> </w:t>
      </w:r>
      <w:r>
        <w:t>nouveau</w:t>
      </w:r>
      <w:r>
        <w:rPr>
          <w:spacing w:val="-4"/>
        </w:rPr>
        <w:t xml:space="preserve"> </w:t>
      </w:r>
      <w:r>
        <w:t>cadre</w:t>
      </w:r>
      <w:r>
        <w:rPr>
          <w:spacing w:val="-3"/>
        </w:rPr>
        <w:t xml:space="preserve"> </w:t>
      </w:r>
      <w:r>
        <w:t>juridique</w:t>
      </w:r>
      <w:r>
        <w:rPr>
          <w:spacing w:val="-3"/>
        </w:rPr>
        <w:t xml:space="preserve"> </w:t>
      </w:r>
      <w:r>
        <w:t>de</w:t>
      </w:r>
      <w:r>
        <w:rPr>
          <w:spacing w:val="-4"/>
        </w:rPr>
        <w:t xml:space="preserve"> </w:t>
      </w:r>
      <w:r>
        <w:t>l’UE</w:t>
      </w:r>
      <w:r>
        <w:rPr>
          <w:spacing w:val="-4"/>
        </w:rPr>
        <w:t xml:space="preserve"> </w:t>
      </w:r>
      <w:r>
        <w:t>relatif</w:t>
      </w:r>
      <w:r>
        <w:rPr>
          <w:spacing w:val="-3"/>
        </w:rPr>
        <w:t xml:space="preserve"> </w:t>
      </w:r>
      <w:r>
        <w:t>aux</w:t>
      </w:r>
      <w:r>
        <w:rPr>
          <w:spacing w:val="-3"/>
        </w:rPr>
        <w:t xml:space="preserve"> </w:t>
      </w:r>
      <w:r>
        <w:t>indications géographiques pour les produits artisanaux et industriels.</w:t>
      </w:r>
    </w:p>
    <w:p w14:paraId="2EC121C4" w14:textId="77777777" w:rsidR="00862026" w:rsidRDefault="00000000">
      <w:pPr>
        <w:pStyle w:val="Corpsdetexte"/>
        <w:spacing w:before="200" w:line="276" w:lineRule="auto"/>
        <w:ind w:right="17"/>
      </w:pPr>
      <w:r>
        <w:t>La décision d’enregistrer la</w:t>
      </w:r>
      <w:proofErr w:type="gramStart"/>
      <w:r>
        <w:t xml:space="preserve"> «Porcelaine</w:t>
      </w:r>
      <w:proofErr w:type="gramEnd"/>
      <w:r>
        <w:t xml:space="preserve"> de </w:t>
      </w:r>
      <w:proofErr w:type="gramStart"/>
      <w:r>
        <w:t>Limoges»</w:t>
      </w:r>
      <w:proofErr w:type="gramEnd"/>
      <w:r>
        <w:t xml:space="preserve"> concrétise la reconnaissance d’un savoir-faire</w:t>
      </w:r>
      <w:r>
        <w:rPr>
          <w:spacing w:val="-8"/>
        </w:rPr>
        <w:t xml:space="preserve"> </w:t>
      </w:r>
      <w:r>
        <w:t>local</w:t>
      </w:r>
      <w:r>
        <w:rPr>
          <w:spacing w:val="-9"/>
        </w:rPr>
        <w:t xml:space="preserve"> </w:t>
      </w:r>
      <w:r>
        <w:t>unique,</w:t>
      </w:r>
      <w:r>
        <w:rPr>
          <w:spacing w:val="-8"/>
        </w:rPr>
        <w:t xml:space="preserve"> </w:t>
      </w:r>
      <w:r>
        <w:t>développé</w:t>
      </w:r>
      <w:r>
        <w:rPr>
          <w:spacing w:val="-9"/>
        </w:rPr>
        <w:t xml:space="preserve"> </w:t>
      </w:r>
      <w:r>
        <w:t>et</w:t>
      </w:r>
      <w:r>
        <w:rPr>
          <w:spacing w:val="-8"/>
        </w:rPr>
        <w:t xml:space="preserve"> </w:t>
      </w:r>
      <w:r>
        <w:t>transmis</w:t>
      </w:r>
      <w:r>
        <w:rPr>
          <w:spacing w:val="-8"/>
        </w:rPr>
        <w:t xml:space="preserve"> </w:t>
      </w:r>
      <w:r>
        <w:t>de</w:t>
      </w:r>
      <w:r>
        <w:rPr>
          <w:spacing w:val="-12"/>
        </w:rPr>
        <w:t xml:space="preserve"> </w:t>
      </w:r>
      <w:r>
        <w:t>génération</w:t>
      </w:r>
      <w:r>
        <w:rPr>
          <w:spacing w:val="-9"/>
        </w:rPr>
        <w:t xml:space="preserve"> </w:t>
      </w:r>
      <w:r>
        <w:t>en</w:t>
      </w:r>
      <w:r>
        <w:rPr>
          <w:spacing w:val="-9"/>
        </w:rPr>
        <w:t xml:space="preserve"> </w:t>
      </w:r>
      <w:r>
        <w:t>génération</w:t>
      </w:r>
      <w:r>
        <w:rPr>
          <w:spacing w:val="-9"/>
        </w:rPr>
        <w:t xml:space="preserve"> </w:t>
      </w:r>
      <w:r>
        <w:t>par</w:t>
      </w:r>
      <w:r>
        <w:rPr>
          <w:spacing w:val="-8"/>
        </w:rPr>
        <w:t xml:space="preserve"> </w:t>
      </w:r>
      <w:r>
        <w:t>des</w:t>
      </w:r>
      <w:r>
        <w:rPr>
          <w:spacing w:val="-8"/>
        </w:rPr>
        <w:t xml:space="preserve"> </w:t>
      </w:r>
      <w:r>
        <w:t>artisans, notamment des techniques de modelage et de décoration qui requièrent une expertise technique de haut niveau.</w:t>
      </w:r>
    </w:p>
    <w:p w14:paraId="42391872" w14:textId="77777777" w:rsidR="00862026" w:rsidRPr="00E2098C" w:rsidRDefault="00000000">
      <w:pPr>
        <w:pStyle w:val="Corpsdetexte"/>
        <w:spacing w:before="200"/>
      </w:pPr>
      <w:r>
        <w:t>Produite</w:t>
      </w:r>
      <w:r>
        <w:rPr>
          <w:spacing w:val="20"/>
        </w:rPr>
        <w:t xml:space="preserve"> </w:t>
      </w:r>
      <w:r>
        <w:t>dans</w:t>
      </w:r>
      <w:r>
        <w:rPr>
          <w:spacing w:val="19"/>
        </w:rPr>
        <w:t xml:space="preserve"> </w:t>
      </w:r>
      <w:r>
        <w:t>le</w:t>
      </w:r>
      <w:r>
        <w:rPr>
          <w:spacing w:val="22"/>
        </w:rPr>
        <w:t xml:space="preserve"> </w:t>
      </w:r>
      <w:r>
        <w:t>département</w:t>
      </w:r>
      <w:r>
        <w:rPr>
          <w:spacing w:val="20"/>
        </w:rPr>
        <w:t xml:space="preserve"> </w:t>
      </w:r>
      <w:r>
        <w:t>français</w:t>
      </w:r>
      <w:r>
        <w:rPr>
          <w:spacing w:val="22"/>
        </w:rPr>
        <w:t xml:space="preserve"> </w:t>
      </w:r>
      <w:r>
        <w:t>de</w:t>
      </w:r>
      <w:r>
        <w:rPr>
          <w:spacing w:val="19"/>
        </w:rPr>
        <w:t xml:space="preserve"> </w:t>
      </w:r>
      <w:r>
        <w:t>la</w:t>
      </w:r>
      <w:r>
        <w:rPr>
          <w:spacing w:val="22"/>
        </w:rPr>
        <w:t xml:space="preserve"> </w:t>
      </w:r>
      <w:r>
        <w:t>Haute-Vienne</w:t>
      </w:r>
      <w:r>
        <w:rPr>
          <w:spacing w:val="22"/>
        </w:rPr>
        <w:t xml:space="preserve"> </w:t>
      </w:r>
      <w:r>
        <w:t>depuis</w:t>
      </w:r>
      <w:r>
        <w:rPr>
          <w:spacing w:val="22"/>
        </w:rPr>
        <w:t xml:space="preserve"> </w:t>
      </w:r>
      <w:r>
        <w:t>pl</w:t>
      </w:r>
      <w:r w:rsidRPr="00E2098C">
        <w:t>us</w:t>
      </w:r>
      <w:r w:rsidRPr="00E2098C">
        <w:rPr>
          <w:spacing w:val="17"/>
        </w:rPr>
        <w:t xml:space="preserve"> </w:t>
      </w:r>
      <w:r w:rsidRPr="00E2098C">
        <w:t>de</w:t>
      </w:r>
      <w:r w:rsidRPr="00E2098C">
        <w:rPr>
          <w:spacing w:val="21"/>
        </w:rPr>
        <w:t xml:space="preserve"> </w:t>
      </w:r>
      <w:r w:rsidRPr="00E2098C">
        <w:t>deux</w:t>
      </w:r>
      <w:r w:rsidRPr="00E2098C">
        <w:rPr>
          <w:spacing w:val="-1"/>
        </w:rPr>
        <w:t xml:space="preserve"> </w:t>
      </w:r>
      <w:r w:rsidRPr="00E2098C">
        <w:t>siècles,</w:t>
      </w:r>
      <w:r w:rsidRPr="00E2098C">
        <w:rPr>
          <w:spacing w:val="23"/>
        </w:rPr>
        <w:t xml:space="preserve"> </w:t>
      </w:r>
      <w:r w:rsidRPr="00E2098C">
        <w:rPr>
          <w:spacing w:val="-5"/>
        </w:rPr>
        <w:t>la</w:t>
      </w:r>
    </w:p>
    <w:p w14:paraId="236BA8C1" w14:textId="77777777" w:rsidR="00862026" w:rsidRPr="00E2098C" w:rsidRDefault="00000000">
      <w:pPr>
        <w:pStyle w:val="Corpsdetexte"/>
        <w:spacing w:before="39" w:line="278" w:lineRule="auto"/>
        <w:ind w:right="19"/>
      </w:pPr>
      <w:proofErr w:type="gramStart"/>
      <w:r w:rsidRPr="00E2098C">
        <w:t>«Porcelaine</w:t>
      </w:r>
      <w:proofErr w:type="gramEnd"/>
      <w:r w:rsidRPr="00E2098C">
        <w:t xml:space="preserve"> de </w:t>
      </w:r>
      <w:proofErr w:type="gramStart"/>
      <w:r w:rsidRPr="00E2098C">
        <w:t>Limoges»</w:t>
      </w:r>
      <w:proofErr w:type="gramEnd"/>
      <w:r w:rsidRPr="00E2098C">
        <w:t xml:space="preserve"> est entièrement fabriquée dans l’aire géographique délimitée afin de préserver l’authenticité et la qualité associées à cette dénomination.</w:t>
      </w:r>
    </w:p>
    <w:p w14:paraId="7435B7B2" w14:textId="77777777" w:rsidR="00862026" w:rsidRPr="00E2098C" w:rsidRDefault="00000000">
      <w:pPr>
        <w:pStyle w:val="Corpsdetexte"/>
        <w:spacing w:before="194" w:line="276" w:lineRule="auto"/>
        <w:ind w:right="17"/>
      </w:pPr>
      <w:r w:rsidRPr="00E2098C">
        <w:t>Cet</w:t>
      </w:r>
      <w:r w:rsidRPr="00E2098C">
        <w:rPr>
          <w:spacing w:val="-9"/>
        </w:rPr>
        <w:t xml:space="preserve"> </w:t>
      </w:r>
      <w:r w:rsidRPr="00E2098C">
        <w:t>enregistrement,</w:t>
      </w:r>
      <w:r w:rsidRPr="00E2098C">
        <w:rPr>
          <w:spacing w:val="-10"/>
        </w:rPr>
        <w:t xml:space="preserve"> </w:t>
      </w:r>
      <w:r w:rsidRPr="00E2098C">
        <w:t>le</w:t>
      </w:r>
      <w:r w:rsidRPr="00E2098C">
        <w:rPr>
          <w:spacing w:val="-10"/>
        </w:rPr>
        <w:t xml:space="preserve"> </w:t>
      </w:r>
      <w:r w:rsidRPr="00E2098C">
        <w:t>premier</w:t>
      </w:r>
      <w:r w:rsidRPr="00E2098C">
        <w:rPr>
          <w:spacing w:val="-9"/>
        </w:rPr>
        <w:t xml:space="preserve"> </w:t>
      </w:r>
      <w:r w:rsidRPr="00E2098C">
        <w:t>du</w:t>
      </w:r>
      <w:r w:rsidRPr="00E2098C">
        <w:rPr>
          <w:spacing w:val="-12"/>
        </w:rPr>
        <w:t xml:space="preserve"> </w:t>
      </w:r>
      <w:r w:rsidRPr="00E2098C">
        <w:t>genre,</w:t>
      </w:r>
      <w:r w:rsidRPr="00E2098C">
        <w:rPr>
          <w:spacing w:val="-10"/>
        </w:rPr>
        <w:t xml:space="preserve"> </w:t>
      </w:r>
      <w:r w:rsidRPr="00E2098C">
        <w:t>marque</w:t>
      </w:r>
      <w:r w:rsidRPr="00E2098C">
        <w:rPr>
          <w:spacing w:val="-14"/>
        </w:rPr>
        <w:t xml:space="preserve"> </w:t>
      </w:r>
      <w:r w:rsidRPr="00E2098C">
        <w:t>une</w:t>
      </w:r>
      <w:r w:rsidRPr="00E2098C">
        <w:rPr>
          <w:spacing w:val="-10"/>
        </w:rPr>
        <w:t xml:space="preserve"> </w:t>
      </w:r>
      <w:r w:rsidRPr="00E2098C">
        <w:t>étape</w:t>
      </w:r>
      <w:r w:rsidRPr="00E2098C">
        <w:rPr>
          <w:spacing w:val="-11"/>
        </w:rPr>
        <w:t xml:space="preserve"> </w:t>
      </w:r>
      <w:r w:rsidRPr="00E2098C">
        <w:t>importante</w:t>
      </w:r>
      <w:r w:rsidRPr="00E2098C">
        <w:rPr>
          <w:spacing w:val="-10"/>
        </w:rPr>
        <w:t xml:space="preserve"> </w:t>
      </w:r>
      <w:r w:rsidRPr="00E2098C">
        <w:t>dans</w:t>
      </w:r>
      <w:r w:rsidRPr="00E2098C">
        <w:rPr>
          <w:spacing w:val="-10"/>
        </w:rPr>
        <w:t xml:space="preserve"> </w:t>
      </w:r>
      <w:r w:rsidRPr="00E2098C">
        <w:t>la</w:t>
      </w:r>
      <w:r w:rsidRPr="00E2098C">
        <w:rPr>
          <w:spacing w:val="-10"/>
        </w:rPr>
        <w:t xml:space="preserve"> </w:t>
      </w:r>
      <w:r w:rsidRPr="00E2098C">
        <w:t>protection</w:t>
      </w:r>
      <w:r w:rsidRPr="00E2098C">
        <w:rPr>
          <w:spacing w:val="-10"/>
        </w:rPr>
        <w:t xml:space="preserve"> </w:t>
      </w:r>
      <w:r w:rsidRPr="00E2098C">
        <w:t>des indications géographiques pour les produits artisanaux et industriels dans l’UE. Depuis décembre</w:t>
      </w:r>
      <w:r w:rsidRPr="00E2098C">
        <w:rPr>
          <w:spacing w:val="-4"/>
        </w:rPr>
        <w:t xml:space="preserve"> </w:t>
      </w:r>
      <w:r w:rsidRPr="00E2098C">
        <w:t>2025, l’Office de l’Union européenne pour la propriété intellectuelle (EUIPO) est chargé d’enregistrer et d’administrer ce nouveau droit de propriété intellectuelle.</w:t>
      </w:r>
    </w:p>
    <w:p w14:paraId="4BD521B9" w14:textId="77777777" w:rsidR="00862026" w:rsidRPr="00E2098C" w:rsidRDefault="00000000">
      <w:pPr>
        <w:pStyle w:val="Corpsdetexte"/>
        <w:spacing w:before="202"/>
      </w:pPr>
      <w:r w:rsidRPr="00E2098C">
        <w:t>C’est</w:t>
      </w:r>
      <w:r w:rsidRPr="00E2098C">
        <w:rPr>
          <w:spacing w:val="24"/>
        </w:rPr>
        <w:t xml:space="preserve"> </w:t>
      </w:r>
      <w:r w:rsidRPr="00E2098C">
        <w:t>lors</w:t>
      </w:r>
      <w:r w:rsidRPr="00E2098C">
        <w:rPr>
          <w:spacing w:val="26"/>
        </w:rPr>
        <w:t xml:space="preserve"> </w:t>
      </w:r>
      <w:r w:rsidRPr="00E2098C">
        <w:t>d’une</w:t>
      </w:r>
      <w:r w:rsidRPr="00E2098C">
        <w:rPr>
          <w:spacing w:val="24"/>
        </w:rPr>
        <w:t xml:space="preserve"> </w:t>
      </w:r>
      <w:r w:rsidRPr="00E2098C">
        <w:t>cérémonie</w:t>
      </w:r>
      <w:r w:rsidRPr="00E2098C">
        <w:rPr>
          <w:spacing w:val="25"/>
        </w:rPr>
        <w:t xml:space="preserve"> </w:t>
      </w:r>
      <w:r w:rsidRPr="00E2098C">
        <w:t>organisée</w:t>
      </w:r>
      <w:r w:rsidRPr="00E2098C">
        <w:rPr>
          <w:spacing w:val="26"/>
        </w:rPr>
        <w:t xml:space="preserve"> </w:t>
      </w:r>
      <w:r w:rsidRPr="00E2098C">
        <w:t>à</w:t>
      </w:r>
      <w:r w:rsidRPr="00E2098C">
        <w:rPr>
          <w:spacing w:val="24"/>
        </w:rPr>
        <w:t xml:space="preserve"> </w:t>
      </w:r>
      <w:r w:rsidRPr="00E2098C">
        <w:t>Limoges</w:t>
      </w:r>
      <w:r w:rsidRPr="00E2098C">
        <w:rPr>
          <w:spacing w:val="26"/>
        </w:rPr>
        <w:t xml:space="preserve"> </w:t>
      </w:r>
      <w:r w:rsidRPr="00E2098C">
        <w:t>que</w:t>
      </w:r>
      <w:r w:rsidRPr="00E2098C">
        <w:rPr>
          <w:spacing w:val="25"/>
        </w:rPr>
        <w:t xml:space="preserve"> </w:t>
      </w:r>
      <w:r w:rsidRPr="00E2098C">
        <w:t>l’enregistrement</w:t>
      </w:r>
      <w:r w:rsidRPr="00E2098C">
        <w:rPr>
          <w:spacing w:val="24"/>
        </w:rPr>
        <w:t xml:space="preserve"> </w:t>
      </w:r>
      <w:r w:rsidRPr="00E2098C">
        <w:t>de</w:t>
      </w:r>
      <w:r w:rsidRPr="00E2098C">
        <w:rPr>
          <w:spacing w:val="25"/>
        </w:rPr>
        <w:t xml:space="preserve"> </w:t>
      </w:r>
      <w:r w:rsidRPr="00E2098C">
        <w:t>la</w:t>
      </w:r>
      <w:r w:rsidRPr="00E2098C">
        <w:rPr>
          <w:spacing w:val="26"/>
        </w:rPr>
        <w:t xml:space="preserve"> </w:t>
      </w:r>
      <w:r w:rsidRPr="00E2098C">
        <w:rPr>
          <w:spacing w:val="-2"/>
        </w:rPr>
        <w:t>dénomination</w:t>
      </w:r>
    </w:p>
    <w:p w14:paraId="4A7B8C00" w14:textId="77777777" w:rsidR="00862026" w:rsidRPr="00E2098C" w:rsidRDefault="00000000">
      <w:pPr>
        <w:pStyle w:val="Corpsdetexte"/>
        <w:spacing w:before="37" w:line="276" w:lineRule="auto"/>
        <w:ind w:right="16"/>
      </w:pPr>
      <w:proofErr w:type="gramStart"/>
      <w:r w:rsidRPr="00E2098C">
        <w:t>«Porcelaine</w:t>
      </w:r>
      <w:proofErr w:type="gramEnd"/>
      <w:r w:rsidRPr="00E2098C">
        <w:t xml:space="preserve"> de </w:t>
      </w:r>
      <w:proofErr w:type="gramStart"/>
      <w:r w:rsidRPr="00E2098C">
        <w:t>Limoges»</w:t>
      </w:r>
      <w:proofErr w:type="gramEnd"/>
      <w:r w:rsidRPr="00E2098C">
        <w:t xml:space="preserve"> comme première indication géographique pour des produits artisanaux ou industriels à l’échelle de l’UE a été annoncée. Cet événement a réuni des représentants</w:t>
      </w:r>
      <w:r w:rsidRPr="00E2098C">
        <w:rPr>
          <w:spacing w:val="-8"/>
        </w:rPr>
        <w:t xml:space="preserve"> </w:t>
      </w:r>
      <w:r w:rsidRPr="00E2098C">
        <w:t>de</w:t>
      </w:r>
      <w:r w:rsidRPr="00E2098C">
        <w:rPr>
          <w:spacing w:val="-9"/>
        </w:rPr>
        <w:t xml:space="preserve"> </w:t>
      </w:r>
      <w:r w:rsidRPr="00E2098C">
        <w:t>l’EUIPO,</w:t>
      </w:r>
      <w:r w:rsidRPr="00E2098C">
        <w:rPr>
          <w:spacing w:val="-7"/>
        </w:rPr>
        <w:t xml:space="preserve"> </w:t>
      </w:r>
      <w:r w:rsidRPr="00E2098C">
        <w:t>des</w:t>
      </w:r>
      <w:r w:rsidRPr="00E2098C">
        <w:rPr>
          <w:spacing w:val="-8"/>
        </w:rPr>
        <w:t xml:space="preserve"> </w:t>
      </w:r>
      <w:r w:rsidRPr="00E2098C">
        <w:t>groupements</w:t>
      </w:r>
      <w:r w:rsidRPr="00E2098C">
        <w:rPr>
          <w:spacing w:val="-6"/>
        </w:rPr>
        <w:t xml:space="preserve"> </w:t>
      </w:r>
      <w:r w:rsidRPr="00E2098C">
        <w:t>de</w:t>
      </w:r>
      <w:r w:rsidRPr="00E2098C">
        <w:rPr>
          <w:spacing w:val="-12"/>
        </w:rPr>
        <w:t xml:space="preserve"> </w:t>
      </w:r>
      <w:r w:rsidRPr="00E2098C">
        <w:t>producteurs</w:t>
      </w:r>
      <w:r w:rsidRPr="00E2098C">
        <w:rPr>
          <w:spacing w:val="-8"/>
        </w:rPr>
        <w:t xml:space="preserve"> </w:t>
      </w:r>
      <w:r w:rsidRPr="00E2098C">
        <w:t>locaux,</w:t>
      </w:r>
      <w:r w:rsidRPr="00E2098C">
        <w:rPr>
          <w:spacing w:val="-7"/>
        </w:rPr>
        <w:t xml:space="preserve"> </w:t>
      </w:r>
      <w:r w:rsidRPr="00E2098C">
        <w:t>de</w:t>
      </w:r>
      <w:r w:rsidRPr="00E2098C">
        <w:rPr>
          <w:spacing w:val="-7"/>
        </w:rPr>
        <w:t xml:space="preserve"> </w:t>
      </w:r>
      <w:r w:rsidRPr="00E2098C">
        <w:t>l’Institut</w:t>
      </w:r>
      <w:r w:rsidRPr="00E2098C">
        <w:rPr>
          <w:spacing w:val="-7"/>
        </w:rPr>
        <w:t xml:space="preserve"> </w:t>
      </w:r>
      <w:r w:rsidRPr="00E2098C">
        <w:t>national</w:t>
      </w:r>
      <w:r w:rsidRPr="00E2098C">
        <w:rPr>
          <w:spacing w:val="-7"/>
        </w:rPr>
        <w:t xml:space="preserve"> </w:t>
      </w:r>
      <w:r w:rsidRPr="00E2098C">
        <w:t>de</w:t>
      </w:r>
      <w:r w:rsidRPr="00E2098C">
        <w:rPr>
          <w:spacing w:val="-7"/>
        </w:rPr>
        <w:t xml:space="preserve"> </w:t>
      </w:r>
      <w:r w:rsidRPr="00E2098C">
        <w:t>la propriété industrielle français (INPI) et de l’Association pour l’IG Porcelaine de Limoges.</w:t>
      </w:r>
    </w:p>
    <w:p w14:paraId="00B6B505" w14:textId="77777777" w:rsidR="00862026" w:rsidRPr="00E2098C" w:rsidRDefault="00862026">
      <w:pPr>
        <w:pStyle w:val="Corpsdetexte"/>
        <w:spacing w:line="276" w:lineRule="auto"/>
        <w:sectPr w:rsidR="00862026" w:rsidRPr="00E2098C">
          <w:headerReference w:type="default" r:id="rId7"/>
          <w:footerReference w:type="default" r:id="rId8"/>
          <w:type w:val="continuous"/>
          <w:pgSz w:w="11910" w:h="16840"/>
          <w:pgMar w:top="1740" w:right="1417" w:bottom="1200" w:left="1417" w:header="708" w:footer="1003" w:gutter="0"/>
          <w:pgNumType w:start="1"/>
          <w:cols w:space="720"/>
        </w:sectPr>
      </w:pPr>
    </w:p>
    <w:p w14:paraId="7C4B2C32" w14:textId="77777777" w:rsidR="00862026" w:rsidRPr="00E2098C" w:rsidRDefault="00000000">
      <w:pPr>
        <w:pStyle w:val="Corpsdetexte"/>
        <w:spacing w:before="86"/>
      </w:pPr>
      <w:r w:rsidRPr="00E2098C">
        <w:lastRenderedPageBreak/>
        <w:t>Le</w:t>
      </w:r>
      <w:r w:rsidRPr="00E2098C">
        <w:rPr>
          <w:spacing w:val="-8"/>
        </w:rPr>
        <w:t xml:space="preserve"> </w:t>
      </w:r>
      <w:r w:rsidRPr="00E2098C">
        <w:t>directeur</w:t>
      </w:r>
      <w:r w:rsidRPr="00E2098C">
        <w:rPr>
          <w:spacing w:val="-4"/>
        </w:rPr>
        <w:t xml:space="preserve"> </w:t>
      </w:r>
      <w:proofErr w:type="gramStart"/>
      <w:r w:rsidRPr="00E2098C">
        <w:t>exécutif</w:t>
      </w:r>
      <w:proofErr w:type="gramEnd"/>
      <w:r w:rsidRPr="00E2098C">
        <w:rPr>
          <w:spacing w:val="-6"/>
        </w:rPr>
        <w:t xml:space="preserve"> </w:t>
      </w:r>
      <w:r w:rsidRPr="00E2098C">
        <w:t>de</w:t>
      </w:r>
      <w:r w:rsidRPr="00E2098C">
        <w:rPr>
          <w:spacing w:val="-8"/>
        </w:rPr>
        <w:t xml:space="preserve"> </w:t>
      </w:r>
      <w:r w:rsidRPr="00E2098C">
        <w:t>l’EUIPO,</w:t>
      </w:r>
      <w:r w:rsidRPr="00E2098C">
        <w:rPr>
          <w:spacing w:val="-3"/>
        </w:rPr>
        <w:t xml:space="preserve"> </w:t>
      </w:r>
      <w:r w:rsidRPr="00E2098C">
        <w:rPr>
          <w:rFonts w:ascii="Arial" w:hAnsi="Arial"/>
          <w:b/>
        </w:rPr>
        <w:t>João</w:t>
      </w:r>
      <w:r w:rsidRPr="00E2098C">
        <w:rPr>
          <w:rFonts w:ascii="Arial" w:hAnsi="Arial"/>
          <w:b/>
          <w:spacing w:val="-5"/>
        </w:rPr>
        <w:t xml:space="preserve"> </w:t>
      </w:r>
      <w:r w:rsidRPr="00E2098C">
        <w:rPr>
          <w:rFonts w:ascii="Arial" w:hAnsi="Arial"/>
          <w:b/>
        </w:rPr>
        <w:t>Negrão</w:t>
      </w:r>
      <w:r w:rsidRPr="00E2098C">
        <w:t>,</w:t>
      </w:r>
      <w:r w:rsidRPr="00E2098C">
        <w:rPr>
          <w:spacing w:val="-6"/>
        </w:rPr>
        <w:t xml:space="preserve"> </w:t>
      </w:r>
      <w:proofErr w:type="gramStart"/>
      <w:r w:rsidRPr="00E2098C">
        <w:rPr>
          <w:spacing w:val="-2"/>
        </w:rPr>
        <w:t>déclare:</w:t>
      </w:r>
      <w:proofErr w:type="gramEnd"/>
    </w:p>
    <w:p w14:paraId="6AEB80E2" w14:textId="77777777" w:rsidR="00862026" w:rsidRPr="00E2098C" w:rsidRDefault="00000000">
      <w:pPr>
        <w:spacing w:before="236" w:line="276" w:lineRule="auto"/>
        <w:ind w:left="743" w:right="15"/>
        <w:jc w:val="both"/>
        <w:rPr>
          <w:rFonts w:ascii="Arial" w:hAnsi="Arial"/>
          <w:i/>
        </w:rPr>
      </w:pPr>
      <w:proofErr w:type="gramStart"/>
      <w:r w:rsidRPr="00E2098C">
        <w:rPr>
          <w:rFonts w:ascii="Arial" w:hAnsi="Arial"/>
          <w:i/>
        </w:rPr>
        <w:t>«L’enregistrement</w:t>
      </w:r>
      <w:proofErr w:type="gramEnd"/>
      <w:r w:rsidRPr="00E2098C">
        <w:rPr>
          <w:rFonts w:ascii="Arial" w:hAnsi="Arial"/>
          <w:i/>
        </w:rPr>
        <w:t xml:space="preserve"> de la “Porcelaine de Limoges” à titre de toute première indication géographique</w:t>
      </w:r>
      <w:r w:rsidRPr="00E2098C">
        <w:rPr>
          <w:rFonts w:ascii="Arial" w:hAnsi="Arial"/>
          <w:i/>
          <w:spacing w:val="-5"/>
        </w:rPr>
        <w:t xml:space="preserve"> </w:t>
      </w:r>
      <w:r w:rsidRPr="00E2098C">
        <w:rPr>
          <w:rFonts w:ascii="Arial" w:hAnsi="Arial"/>
          <w:i/>
        </w:rPr>
        <w:t>pour</w:t>
      </w:r>
      <w:r w:rsidRPr="00E2098C">
        <w:rPr>
          <w:rFonts w:ascii="Arial" w:hAnsi="Arial"/>
          <w:i/>
          <w:spacing w:val="-6"/>
        </w:rPr>
        <w:t xml:space="preserve"> </w:t>
      </w:r>
      <w:r w:rsidRPr="00E2098C">
        <w:rPr>
          <w:rFonts w:ascii="Arial" w:hAnsi="Arial"/>
          <w:i/>
        </w:rPr>
        <w:t>des</w:t>
      </w:r>
      <w:r w:rsidRPr="00E2098C">
        <w:rPr>
          <w:rFonts w:ascii="Arial" w:hAnsi="Arial"/>
          <w:i/>
          <w:spacing w:val="-7"/>
        </w:rPr>
        <w:t xml:space="preserve"> </w:t>
      </w:r>
      <w:r w:rsidRPr="00E2098C">
        <w:rPr>
          <w:rFonts w:ascii="Arial" w:hAnsi="Arial"/>
          <w:i/>
        </w:rPr>
        <w:t>produits</w:t>
      </w:r>
      <w:r w:rsidRPr="00E2098C">
        <w:rPr>
          <w:rFonts w:ascii="Arial" w:hAnsi="Arial"/>
          <w:i/>
          <w:spacing w:val="-6"/>
        </w:rPr>
        <w:t xml:space="preserve"> </w:t>
      </w:r>
      <w:r w:rsidRPr="00E2098C">
        <w:rPr>
          <w:rFonts w:ascii="Arial" w:hAnsi="Arial"/>
          <w:i/>
        </w:rPr>
        <w:t>artisanaux</w:t>
      </w:r>
      <w:r w:rsidRPr="00E2098C">
        <w:rPr>
          <w:rFonts w:ascii="Arial" w:hAnsi="Arial"/>
          <w:i/>
          <w:spacing w:val="-7"/>
        </w:rPr>
        <w:t xml:space="preserve"> </w:t>
      </w:r>
      <w:r w:rsidRPr="00E2098C">
        <w:rPr>
          <w:rFonts w:ascii="Arial" w:hAnsi="Arial"/>
          <w:i/>
        </w:rPr>
        <w:t>et</w:t>
      </w:r>
      <w:r w:rsidRPr="00E2098C">
        <w:rPr>
          <w:rFonts w:ascii="Arial" w:hAnsi="Arial"/>
          <w:i/>
          <w:spacing w:val="-6"/>
        </w:rPr>
        <w:t xml:space="preserve"> </w:t>
      </w:r>
      <w:r w:rsidRPr="00E2098C">
        <w:rPr>
          <w:rFonts w:ascii="Arial" w:hAnsi="Arial"/>
          <w:i/>
        </w:rPr>
        <w:t>industriels</w:t>
      </w:r>
      <w:r w:rsidRPr="00E2098C">
        <w:rPr>
          <w:rFonts w:ascii="Arial" w:hAnsi="Arial"/>
          <w:i/>
          <w:spacing w:val="-7"/>
        </w:rPr>
        <w:t xml:space="preserve"> </w:t>
      </w:r>
      <w:r w:rsidRPr="00E2098C">
        <w:rPr>
          <w:rFonts w:ascii="Arial" w:hAnsi="Arial"/>
          <w:i/>
        </w:rPr>
        <w:t>marque</w:t>
      </w:r>
      <w:r w:rsidRPr="00E2098C">
        <w:rPr>
          <w:rFonts w:ascii="Arial" w:hAnsi="Arial"/>
          <w:i/>
          <w:spacing w:val="-7"/>
        </w:rPr>
        <w:t xml:space="preserve"> </w:t>
      </w:r>
      <w:r w:rsidRPr="00E2098C">
        <w:rPr>
          <w:rFonts w:ascii="Arial" w:hAnsi="Arial"/>
          <w:i/>
        </w:rPr>
        <w:t>une</w:t>
      </w:r>
      <w:r w:rsidRPr="00E2098C">
        <w:rPr>
          <w:rFonts w:ascii="Arial" w:hAnsi="Arial"/>
          <w:i/>
          <w:spacing w:val="-7"/>
        </w:rPr>
        <w:t xml:space="preserve"> </w:t>
      </w:r>
      <w:r w:rsidRPr="00E2098C">
        <w:rPr>
          <w:rFonts w:ascii="Arial" w:hAnsi="Arial"/>
          <w:i/>
        </w:rPr>
        <w:t>étape</w:t>
      </w:r>
      <w:r w:rsidRPr="00E2098C">
        <w:rPr>
          <w:rFonts w:ascii="Arial" w:hAnsi="Arial"/>
          <w:i/>
          <w:spacing w:val="-7"/>
        </w:rPr>
        <w:t xml:space="preserve"> </w:t>
      </w:r>
      <w:r w:rsidRPr="00E2098C">
        <w:rPr>
          <w:rFonts w:ascii="Arial" w:hAnsi="Arial"/>
          <w:i/>
        </w:rPr>
        <w:t>historique tant pour l’Union européenne que pour la France. Au-delà de la protection du patrimoine et du savoir-faire de Limoges, ce nouveau système accentue le poids de l’Europe dans le commerce mondial, stimule la compétitivité de l’UE et ouvre de nouvelles perspectives pour nos</w:t>
      </w:r>
      <w:r w:rsidRPr="00E2098C">
        <w:rPr>
          <w:rFonts w:ascii="Arial" w:hAnsi="Arial"/>
          <w:i/>
          <w:spacing w:val="-1"/>
        </w:rPr>
        <w:t xml:space="preserve"> </w:t>
      </w:r>
      <w:r w:rsidRPr="00E2098C">
        <w:rPr>
          <w:rFonts w:ascii="Arial" w:hAnsi="Arial"/>
          <w:i/>
        </w:rPr>
        <w:t>régions, nos</w:t>
      </w:r>
      <w:r w:rsidRPr="00E2098C">
        <w:rPr>
          <w:rFonts w:ascii="Arial" w:hAnsi="Arial"/>
          <w:i/>
          <w:spacing w:val="-1"/>
        </w:rPr>
        <w:t xml:space="preserve"> </w:t>
      </w:r>
      <w:r w:rsidRPr="00E2098C">
        <w:rPr>
          <w:rFonts w:ascii="Arial" w:hAnsi="Arial"/>
          <w:i/>
        </w:rPr>
        <w:t>artisans et nos</w:t>
      </w:r>
      <w:r w:rsidRPr="00E2098C">
        <w:rPr>
          <w:rFonts w:ascii="Arial" w:hAnsi="Arial"/>
          <w:i/>
          <w:spacing w:val="-1"/>
        </w:rPr>
        <w:t xml:space="preserve"> </w:t>
      </w:r>
      <w:r w:rsidRPr="00E2098C">
        <w:rPr>
          <w:rFonts w:ascii="Arial" w:hAnsi="Arial"/>
          <w:i/>
        </w:rPr>
        <w:t>communautés locales</w:t>
      </w:r>
      <w:proofErr w:type="gramStart"/>
      <w:r w:rsidRPr="00E2098C">
        <w:rPr>
          <w:rFonts w:ascii="Arial" w:hAnsi="Arial"/>
          <w:i/>
        </w:rPr>
        <w:t>.»</w:t>
      </w:r>
      <w:proofErr w:type="gramEnd"/>
    </w:p>
    <w:p w14:paraId="67BC5A1B" w14:textId="77777777" w:rsidR="00862026" w:rsidRPr="00E2098C" w:rsidRDefault="00862026">
      <w:pPr>
        <w:pStyle w:val="Corpsdetexte"/>
        <w:spacing w:before="39"/>
        <w:ind w:left="0"/>
        <w:jc w:val="left"/>
        <w:rPr>
          <w:rFonts w:ascii="Arial"/>
          <w:i/>
        </w:rPr>
      </w:pPr>
    </w:p>
    <w:p w14:paraId="3FD9AF53" w14:textId="77777777" w:rsidR="00862026" w:rsidRPr="00E2098C" w:rsidRDefault="00000000">
      <w:pPr>
        <w:ind w:left="23"/>
        <w:jc w:val="both"/>
        <w:rPr>
          <w:rFonts w:ascii="Arial" w:hAnsi="Arial"/>
          <w:b/>
        </w:rPr>
      </w:pPr>
      <w:r w:rsidRPr="00E2098C">
        <w:rPr>
          <w:rFonts w:ascii="Arial" w:hAnsi="Arial"/>
          <w:b/>
        </w:rPr>
        <w:t>Protéger</w:t>
      </w:r>
      <w:r w:rsidRPr="00E2098C">
        <w:rPr>
          <w:rFonts w:ascii="Arial" w:hAnsi="Arial"/>
          <w:b/>
          <w:spacing w:val="-8"/>
        </w:rPr>
        <w:t xml:space="preserve"> </w:t>
      </w:r>
      <w:r w:rsidRPr="00E2098C">
        <w:rPr>
          <w:rFonts w:ascii="Arial" w:hAnsi="Arial"/>
          <w:b/>
        </w:rPr>
        <w:t>l’artisanat</w:t>
      </w:r>
      <w:r w:rsidRPr="00E2098C">
        <w:rPr>
          <w:rFonts w:ascii="Arial" w:hAnsi="Arial"/>
          <w:b/>
          <w:spacing w:val="-6"/>
        </w:rPr>
        <w:t xml:space="preserve"> </w:t>
      </w:r>
      <w:r w:rsidRPr="00E2098C">
        <w:rPr>
          <w:rFonts w:ascii="Arial" w:hAnsi="Arial"/>
          <w:b/>
          <w:spacing w:val="-2"/>
        </w:rPr>
        <w:t>européen</w:t>
      </w:r>
    </w:p>
    <w:p w14:paraId="1D27E41D" w14:textId="77777777" w:rsidR="00862026" w:rsidRPr="00E2098C" w:rsidRDefault="00000000">
      <w:pPr>
        <w:pStyle w:val="Corpsdetexte"/>
        <w:spacing w:before="237" w:line="276" w:lineRule="auto"/>
        <w:ind w:right="16"/>
      </w:pPr>
      <w:r w:rsidRPr="00E2098C">
        <w:t>Le</w:t>
      </w:r>
      <w:r w:rsidRPr="00E2098C">
        <w:rPr>
          <w:spacing w:val="-13"/>
        </w:rPr>
        <w:t xml:space="preserve"> </w:t>
      </w:r>
      <w:r w:rsidRPr="00E2098C">
        <w:t>nouveau</w:t>
      </w:r>
      <w:r w:rsidRPr="00E2098C">
        <w:rPr>
          <w:spacing w:val="-13"/>
        </w:rPr>
        <w:t xml:space="preserve"> </w:t>
      </w:r>
      <w:r w:rsidRPr="00E2098C">
        <w:t>système</w:t>
      </w:r>
      <w:r w:rsidRPr="00E2098C">
        <w:rPr>
          <w:spacing w:val="-14"/>
        </w:rPr>
        <w:t xml:space="preserve"> </w:t>
      </w:r>
      <w:r w:rsidRPr="00E2098C">
        <w:t>des</w:t>
      </w:r>
      <w:r w:rsidRPr="00E2098C">
        <w:rPr>
          <w:spacing w:val="-14"/>
        </w:rPr>
        <w:t xml:space="preserve"> </w:t>
      </w:r>
      <w:r w:rsidRPr="00E2098C">
        <w:t>indications</w:t>
      </w:r>
      <w:r w:rsidRPr="00E2098C">
        <w:rPr>
          <w:spacing w:val="-12"/>
        </w:rPr>
        <w:t xml:space="preserve"> </w:t>
      </w:r>
      <w:r w:rsidRPr="00E2098C">
        <w:t>géographiques</w:t>
      </w:r>
      <w:r w:rsidRPr="00E2098C">
        <w:rPr>
          <w:spacing w:val="-11"/>
        </w:rPr>
        <w:t xml:space="preserve"> </w:t>
      </w:r>
      <w:r w:rsidRPr="00E2098C">
        <w:t>pour</w:t>
      </w:r>
      <w:r w:rsidRPr="00E2098C">
        <w:rPr>
          <w:spacing w:val="-11"/>
        </w:rPr>
        <w:t xml:space="preserve"> </w:t>
      </w:r>
      <w:r w:rsidRPr="00E2098C">
        <w:t>les</w:t>
      </w:r>
      <w:r w:rsidRPr="00E2098C">
        <w:rPr>
          <w:spacing w:val="-12"/>
        </w:rPr>
        <w:t xml:space="preserve"> </w:t>
      </w:r>
      <w:r w:rsidRPr="00E2098C">
        <w:t>produits</w:t>
      </w:r>
      <w:r w:rsidRPr="00E2098C">
        <w:rPr>
          <w:spacing w:val="-11"/>
        </w:rPr>
        <w:t xml:space="preserve"> </w:t>
      </w:r>
      <w:r w:rsidRPr="00E2098C">
        <w:t>artisanaux</w:t>
      </w:r>
      <w:r w:rsidRPr="00E2098C">
        <w:rPr>
          <w:spacing w:val="-12"/>
        </w:rPr>
        <w:t xml:space="preserve"> </w:t>
      </w:r>
      <w:r w:rsidRPr="00E2098C">
        <w:t>et</w:t>
      </w:r>
      <w:r w:rsidRPr="00E2098C">
        <w:rPr>
          <w:spacing w:val="-11"/>
        </w:rPr>
        <w:t xml:space="preserve"> </w:t>
      </w:r>
      <w:r w:rsidRPr="00E2098C">
        <w:t>industriels de l’UE protège les dénominations des produits dont la qualité, la réputation ou d’autres caractéristiques sont intrinsèquement liées à leur aire géographique d’origine. Il est similaire au</w:t>
      </w:r>
      <w:r w:rsidRPr="00E2098C">
        <w:rPr>
          <w:spacing w:val="-3"/>
        </w:rPr>
        <w:t xml:space="preserve"> </w:t>
      </w:r>
      <w:r w:rsidRPr="00E2098C">
        <w:t>système</w:t>
      </w:r>
      <w:r w:rsidRPr="00E2098C">
        <w:rPr>
          <w:spacing w:val="-5"/>
        </w:rPr>
        <w:t xml:space="preserve"> </w:t>
      </w:r>
      <w:r w:rsidRPr="00E2098C">
        <w:t>déjà</w:t>
      </w:r>
      <w:r w:rsidRPr="00E2098C">
        <w:rPr>
          <w:spacing w:val="-5"/>
        </w:rPr>
        <w:t xml:space="preserve"> </w:t>
      </w:r>
      <w:r w:rsidRPr="00E2098C">
        <w:t>en</w:t>
      </w:r>
      <w:r w:rsidRPr="00E2098C">
        <w:rPr>
          <w:spacing w:val="-5"/>
        </w:rPr>
        <w:t xml:space="preserve"> </w:t>
      </w:r>
      <w:r w:rsidRPr="00E2098C">
        <w:t>place</w:t>
      </w:r>
      <w:r w:rsidRPr="00E2098C">
        <w:rPr>
          <w:spacing w:val="-3"/>
        </w:rPr>
        <w:t xml:space="preserve"> </w:t>
      </w:r>
      <w:r w:rsidRPr="00E2098C">
        <w:t>pour</w:t>
      </w:r>
      <w:r w:rsidRPr="00E2098C">
        <w:rPr>
          <w:spacing w:val="-4"/>
        </w:rPr>
        <w:t xml:space="preserve"> </w:t>
      </w:r>
      <w:r w:rsidRPr="00E2098C">
        <w:t>les</w:t>
      </w:r>
      <w:r w:rsidRPr="00E2098C">
        <w:rPr>
          <w:spacing w:val="-5"/>
        </w:rPr>
        <w:t xml:space="preserve"> </w:t>
      </w:r>
      <w:r w:rsidRPr="00E2098C">
        <w:t>indications</w:t>
      </w:r>
      <w:r w:rsidRPr="00E2098C">
        <w:rPr>
          <w:spacing w:val="-5"/>
        </w:rPr>
        <w:t xml:space="preserve"> </w:t>
      </w:r>
      <w:r w:rsidRPr="00E2098C">
        <w:t>géographiques</w:t>
      </w:r>
      <w:r w:rsidRPr="00E2098C">
        <w:rPr>
          <w:spacing w:val="-2"/>
        </w:rPr>
        <w:t xml:space="preserve"> </w:t>
      </w:r>
      <w:r w:rsidRPr="00E2098C">
        <w:t>relatives</w:t>
      </w:r>
      <w:r w:rsidRPr="00E2098C">
        <w:rPr>
          <w:spacing w:val="-5"/>
        </w:rPr>
        <w:t xml:space="preserve"> </w:t>
      </w:r>
      <w:r w:rsidRPr="00E2098C">
        <w:t>aux</w:t>
      </w:r>
      <w:r w:rsidRPr="00E2098C">
        <w:rPr>
          <w:spacing w:val="-2"/>
        </w:rPr>
        <w:t xml:space="preserve"> </w:t>
      </w:r>
      <w:r w:rsidRPr="00E2098C">
        <w:t>produits</w:t>
      </w:r>
      <w:r w:rsidRPr="00E2098C">
        <w:rPr>
          <w:spacing w:val="-3"/>
        </w:rPr>
        <w:t xml:space="preserve"> </w:t>
      </w:r>
      <w:r w:rsidRPr="00E2098C">
        <w:t>agricoles et</w:t>
      </w:r>
      <w:r w:rsidRPr="00E2098C">
        <w:rPr>
          <w:spacing w:val="-4"/>
        </w:rPr>
        <w:t xml:space="preserve"> </w:t>
      </w:r>
      <w:r w:rsidRPr="00E2098C">
        <w:t>pourrait</w:t>
      </w:r>
      <w:r w:rsidRPr="00E2098C">
        <w:rPr>
          <w:spacing w:val="-4"/>
        </w:rPr>
        <w:t xml:space="preserve"> </w:t>
      </w:r>
      <w:r w:rsidRPr="00E2098C">
        <w:t>potentiellement</w:t>
      </w:r>
      <w:r w:rsidRPr="00E2098C">
        <w:rPr>
          <w:spacing w:val="-4"/>
        </w:rPr>
        <w:t xml:space="preserve"> </w:t>
      </w:r>
      <w:r w:rsidRPr="00E2098C">
        <w:t>protéger</w:t>
      </w:r>
      <w:r w:rsidRPr="00E2098C">
        <w:rPr>
          <w:spacing w:val="-4"/>
        </w:rPr>
        <w:t xml:space="preserve"> </w:t>
      </w:r>
      <w:r w:rsidRPr="00E2098C">
        <w:t>les</w:t>
      </w:r>
      <w:r w:rsidRPr="00E2098C">
        <w:rPr>
          <w:spacing w:val="-4"/>
        </w:rPr>
        <w:t xml:space="preserve"> </w:t>
      </w:r>
      <w:r w:rsidRPr="00E2098C">
        <w:t>dénominations</w:t>
      </w:r>
      <w:r w:rsidRPr="00E2098C">
        <w:rPr>
          <w:spacing w:val="-2"/>
        </w:rPr>
        <w:t xml:space="preserve"> </w:t>
      </w:r>
      <w:r w:rsidRPr="00E2098C">
        <w:t>de</w:t>
      </w:r>
      <w:r w:rsidRPr="00E2098C">
        <w:rPr>
          <w:spacing w:val="-8"/>
        </w:rPr>
        <w:t xml:space="preserve"> </w:t>
      </w:r>
      <w:r w:rsidRPr="00E2098C">
        <w:t>centaines</w:t>
      </w:r>
      <w:r w:rsidRPr="00E2098C">
        <w:rPr>
          <w:spacing w:val="-5"/>
        </w:rPr>
        <w:t xml:space="preserve"> </w:t>
      </w:r>
      <w:r w:rsidRPr="00E2098C">
        <w:t>de</w:t>
      </w:r>
      <w:r w:rsidRPr="00E2098C">
        <w:rPr>
          <w:spacing w:val="-5"/>
        </w:rPr>
        <w:t xml:space="preserve"> </w:t>
      </w:r>
      <w:r w:rsidRPr="00E2098C">
        <w:t>produits</w:t>
      </w:r>
      <w:r w:rsidRPr="00E2098C">
        <w:rPr>
          <w:spacing w:val="-1"/>
        </w:rPr>
        <w:t xml:space="preserve"> </w:t>
      </w:r>
      <w:r w:rsidRPr="00E2098C">
        <w:t>artisanaux</w:t>
      </w:r>
      <w:r w:rsidRPr="00E2098C">
        <w:rPr>
          <w:spacing w:val="-5"/>
        </w:rPr>
        <w:t xml:space="preserve"> </w:t>
      </w:r>
      <w:r w:rsidRPr="00E2098C">
        <w:t>et industriels dans toute l’UE, notamment dans les domaines de la menuiserie, du textile, du verre, etc.</w:t>
      </w:r>
    </w:p>
    <w:p w14:paraId="1E66E1A9" w14:textId="77777777" w:rsidR="00862026" w:rsidRPr="00E2098C" w:rsidRDefault="00000000">
      <w:pPr>
        <w:pStyle w:val="Corpsdetexte"/>
        <w:spacing w:before="201" w:line="276" w:lineRule="auto"/>
        <w:ind w:right="15"/>
      </w:pPr>
      <w:r w:rsidRPr="00E2098C">
        <w:t>Au</w:t>
      </w:r>
      <w:r w:rsidRPr="00E2098C">
        <w:rPr>
          <w:spacing w:val="39"/>
        </w:rPr>
        <w:t xml:space="preserve"> </w:t>
      </w:r>
      <w:r w:rsidRPr="00E2098C">
        <w:t>cours</w:t>
      </w:r>
      <w:r w:rsidRPr="00E2098C">
        <w:rPr>
          <w:spacing w:val="39"/>
        </w:rPr>
        <w:t xml:space="preserve"> </w:t>
      </w:r>
      <w:r w:rsidRPr="00E2098C">
        <w:t>des</w:t>
      </w:r>
      <w:r w:rsidRPr="00E2098C">
        <w:rPr>
          <w:spacing w:val="39"/>
        </w:rPr>
        <w:t xml:space="preserve"> </w:t>
      </w:r>
      <w:r w:rsidRPr="00E2098C">
        <w:t>six</w:t>
      </w:r>
      <w:r w:rsidRPr="00E2098C">
        <w:rPr>
          <w:spacing w:val="39"/>
        </w:rPr>
        <w:t xml:space="preserve"> </w:t>
      </w:r>
      <w:r w:rsidRPr="00E2098C">
        <w:t>premiers</w:t>
      </w:r>
      <w:r w:rsidRPr="00E2098C">
        <w:rPr>
          <w:spacing w:val="40"/>
        </w:rPr>
        <w:t xml:space="preserve"> </w:t>
      </w:r>
      <w:r w:rsidRPr="00E2098C">
        <w:t>mois</w:t>
      </w:r>
      <w:r w:rsidRPr="00E2098C">
        <w:rPr>
          <w:spacing w:val="37"/>
        </w:rPr>
        <w:t xml:space="preserve"> </w:t>
      </w:r>
      <w:r w:rsidRPr="00E2098C">
        <w:t>suivant</w:t>
      </w:r>
      <w:r w:rsidRPr="00E2098C">
        <w:rPr>
          <w:spacing w:val="40"/>
        </w:rPr>
        <w:t xml:space="preserve"> </w:t>
      </w:r>
      <w:r w:rsidRPr="00E2098C">
        <w:t>la</w:t>
      </w:r>
      <w:r w:rsidRPr="00E2098C">
        <w:rPr>
          <w:spacing w:val="39"/>
        </w:rPr>
        <w:t xml:space="preserve"> </w:t>
      </w:r>
      <w:r w:rsidRPr="00E2098C">
        <w:t>mise</w:t>
      </w:r>
      <w:r w:rsidRPr="00E2098C">
        <w:rPr>
          <w:spacing w:val="39"/>
        </w:rPr>
        <w:t xml:space="preserve"> </w:t>
      </w:r>
      <w:r w:rsidRPr="00E2098C">
        <w:t>en</w:t>
      </w:r>
      <w:r w:rsidRPr="00E2098C">
        <w:rPr>
          <w:spacing w:val="38"/>
        </w:rPr>
        <w:t xml:space="preserve"> </w:t>
      </w:r>
      <w:r w:rsidRPr="00E2098C">
        <w:t>service</w:t>
      </w:r>
      <w:r w:rsidRPr="00E2098C">
        <w:rPr>
          <w:spacing w:val="38"/>
        </w:rPr>
        <w:t xml:space="preserve"> </w:t>
      </w:r>
      <w:r w:rsidRPr="00E2098C">
        <w:t>du</w:t>
      </w:r>
      <w:r w:rsidRPr="00E2098C">
        <w:rPr>
          <w:spacing w:val="38"/>
        </w:rPr>
        <w:t xml:space="preserve"> </w:t>
      </w:r>
      <w:r w:rsidRPr="00E2098C">
        <w:t>système,</w:t>
      </w:r>
      <w:r w:rsidRPr="00E2098C">
        <w:rPr>
          <w:spacing w:val="40"/>
        </w:rPr>
        <w:t xml:space="preserve"> </w:t>
      </w:r>
      <w:r w:rsidRPr="00E2098C">
        <w:t>l’EUIPO</w:t>
      </w:r>
      <w:r w:rsidRPr="00E2098C">
        <w:rPr>
          <w:spacing w:val="40"/>
        </w:rPr>
        <w:t xml:space="preserve"> </w:t>
      </w:r>
      <w:r w:rsidRPr="00E2098C">
        <w:t>a</w:t>
      </w:r>
      <w:r w:rsidRPr="00E2098C">
        <w:rPr>
          <w:spacing w:val="39"/>
        </w:rPr>
        <w:t xml:space="preserve"> </w:t>
      </w:r>
      <w:r w:rsidRPr="00E2098C">
        <w:t>reçu 74</w:t>
      </w:r>
      <w:r w:rsidRPr="00E2098C">
        <w:rPr>
          <w:spacing w:val="-3"/>
        </w:rPr>
        <w:t xml:space="preserve"> </w:t>
      </w:r>
      <w:r w:rsidRPr="00E2098C">
        <w:t>demandes</w:t>
      </w:r>
      <w:r w:rsidRPr="00E2098C">
        <w:rPr>
          <w:spacing w:val="-13"/>
        </w:rPr>
        <w:t xml:space="preserve"> </w:t>
      </w:r>
      <w:r w:rsidRPr="00E2098C">
        <w:t>d’indications</w:t>
      </w:r>
      <w:r w:rsidRPr="00E2098C">
        <w:rPr>
          <w:spacing w:val="-11"/>
        </w:rPr>
        <w:t xml:space="preserve"> </w:t>
      </w:r>
      <w:r w:rsidRPr="00E2098C">
        <w:t>géographiques</w:t>
      </w:r>
      <w:r w:rsidRPr="00E2098C">
        <w:rPr>
          <w:spacing w:val="-11"/>
        </w:rPr>
        <w:t xml:space="preserve"> </w:t>
      </w:r>
      <w:r w:rsidRPr="00E2098C">
        <w:t>pour</w:t>
      </w:r>
      <w:r w:rsidRPr="00E2098C">
        <w:rPr>
          <w:spacing w:val="-10"/>
        </w:rPr>
        <w:t xml:space="preserve"> </w:t>
      </w:r>
      <w:r w:rsidRPr="00E2098C">
        <w:t>des</w:t>
      </w:r>
      <w:r w:rsidRPr="00E2098C">
        <w:rPr>
          <w:spacing w:val="-11"/>
        </w:rPr>
        <w:t xml:space="preserve"> </w:t>
      </w:r>
      <w:r w:rsidRPr="00E2098C">
        <w:t>produits</w:t>
      </w:r>
      <w:r w:rsidRPr="00E2098C">
        <w:rPr>
          <w:spacing w:val="-10"/>
        </w:rPr>
        <w:t xml:space="preserve"> </w:t>
      </w:r>
      <w:r w:rsidRPr="00E2098C">
        <w:t>artisanaux</w:t>
      </w:r>
      <w:r w:rsidRPr="00E2098C">
        <w:rPr>
          <w:spacing w:val="-11"/>
        </w:rPr>
        <w:t xml:space="preserve"> </w:t>
      </w:r>
      <w:r w:rsidRPr="00E2098C">
        <w:t>et</w:t>
      </w:r>
      <w:r w:rsidRPr="00E2098C">
        <w:rPr>
          <w:spacing w:val="-12"/>
        </w:rPr>
        <w:t xml:space="preserve"> </w:t>
      </w:r>
      <w:r w:rsidRPr="00E2098C">
        <w:t>industriels,</w:t>
      </w:r>
      <w:r w:rsidRPr="00E2098C">
        <w:rPr>
          <w:spacing w:val="-10"/>
        </w:rPr>
        <w:t xml:space="preserve"> </w:t>
      </w:r>
      <w:r w:rsidRPr="00E2098C">
        <w:t>dont</w:t>
      </w:r>
      <w:r w:rsidRPr="00E2098C">
        <w:rPr>
          <w:spacing w:val="-13"/>
        </w:rPr>
        <w:t xml:space="preserve"> </w:t>
      </w:r>
      <w:r w:rsidRPr="00E2098C">
        <w:t>25 provenaient de France, ce qui en fait le deuxième déposant le plus actif après le Portugal. Cela témoigne de l’intérêt constant et de la prise de conscience croissante, chez les producteurs locaux, de l’importance de la lutte contre la contrefaçon et l’imitation.</w:t>
      </w:r>
    </w:p>
    <w:p w14:paraId="6BEBE1EA" w14:textId="77777777" w:rsidR="00862026" w:rsidRPr="00E2098C" w:rsidRDefault="00000000">
      <w:pPr>
        <w:pStyle w:val="Corpsdetexte"/>
        <w:spacing w:before="199" w:line="276" w:lineRule="auto"/>
        <w:ind w:right="20"/>
      </w:pPr>
      <w:r w:rsidRPr="00E2098C">
        <w:t>Le nouveau système apporte également des avantages importants aux consommateurs, qui seront mieux informés sur l’origine et l’authenticité des produits, ce qui les aidera à prendre des décisions d’achat en toute confiance. Il devrait également avoir des retombées positives sur</w:t>
      </w:r>
      <w:r w:rsidRPr="00E2098C">
        <w:rPr>
          <w:spacing w:val="-16"/>
        </w:rPr>
        <w:t xml:space="preserve"> </w:t>
      </w:r>
      <w:r w:rsidRPr="00E2098C">
        <w:t>les</w:t>
      </w:r>
      <w:r w:rsidRPr="00E2098C">
        <w:rPr>
          <w:spacing w:val="-15"/>
        </w:rPr>
        <w:t xml:space="preserve"> </w:t>
      </w:r>
      <w:r w:rsidRPr="00E2098C">
        <w:t>économies</w:t>
      </w:r>
      <w:r w:rsidRPr="00E2098C">
        <w:rPr>
          <w:spacing w:val="-15"/>
        </w:rPr>
        <w:t xml:space="preserve"> </w:t>
      </w:r>
      <w:r w:rsidRPr="00E2098C">
        <w:t>locales</w:t>
      </w:r>
      <w:r w:rsidRPr="00E2098C">
        <w:rPr>
          <w:spacing w:val="-16"/>
        </w:rPr>
        <w:t xml:space="preserve"> </w:t>
      </w:r>
      <w:r w:rsidRPr="00E2098C">
        <w:t>en</w:t>
      </w:r>
      <w:r w:rsidRPr="00E2098C">
        <w:rPr>
          <w:spacing w:val="-15"/>
        </w:rPr>
        <w:t xml:space="preserve"> </w:t>
      </w:r>
      <w:r w:rsidRPr="00E2098C">
        <w:t>favorisant</w:t>
      </w:r>
      <w:r w:rsidRPr="00E2098C">
        <w:rPr>
          <w:spacing w:val="-15"/>
        </w:rPr>
        <w:t xml:space="preserve"> </w:t>
      </w:r>
      <w:r w:rsidRPr="00E2098C">
        <w:t>le</w:t>
      </w:r>
      <w:r w:rsidRPr="00E2098C">
        <w:rPr>
          <w:spacing w:val="-15"/>
        </w:rPr>
        <w:t xml:space="preserve"> </w:t>
      </w:r>
      <w:r w:rsidRPr="00E2098C">
        <w:t>tourisme</w:t>
      </w:r>
      <w:r w:rsidRPr="00E2098C">
        <w:rPr>
          <w:spacing w:val="-16"/>
        </w:rPr>
        <w:t xml:space="preserve"> </w:t>
      </w:r>
      <w:r w:rsidRPr="00E2098C">
        <w:t>lié</w:t>
      </w:r>
      <w:r w:rsidRPr="00E2098C">
        <w:rPr>
          <w:spacing w:val="-15"/>
        </w:rPr>
        <w:t xml:space="preserve"> </w:t>
      </w:r>
      <w:r w:rsidRPr="00E2098C">
        <w:t>à</w:t>
      </w:r>
      <w:r w:rsidRPr="00E2098C">
        <w:rPr>
          <w:spacing w:val="-15"/>
        </w:rPr>
        <w:t xml:space="preserve"> </w:t>
      </w:r>
      <w:r w:rsidRPr="00E2098C">
        <w:t>l’artisanat</w:t>
      </w:r>
      <w:r w:rsidRPr="00E2098C">
        <w:rPr>
          <w:spacing w:val="-16"/>
        </w:rPr>
        <w:t xml:space="preserve"> </w:t>
      </w:r>
      <w:r w:rsidRPr="00E2098C">
        <w:t>traditionnel</w:t>
      </w:r>
      <w:r w:rsidRPr="00E2098C">
        <w:rPr>
          <w:spacing w:val="-15"/>
        </w:rPr>
        <w:t xml:space="preserve"> </w:t>
      </w:r>
      <w:r w:rsidRPr="00E2098C">
        <w:t>et</w:t>
      </w:r>
      <w:r w:rsidRPr="00E2098C">
        <w:rPr>
          <w:spacing w:val="-15"/>
        </w:rPr>
        <w:t xml:space="preserve"> </w:t>
      </w:r>
      <w:r w:rsidRPr="00E2098C">
        <w:t>au</w:t>
      </w:r>
      <w:r w:rsidRPr="00E2098C">
        <w:rPr>
          <w:spacing w:val="-15"/>
        </w:rPr>
        <w:t xml:space="preserve"> </w:t>
      </w:r>
      <w:r w:rsidRPr="00E2098C">
        <w:t>patrimoine culturel de l’Europe.</w:t>
      </w:r>
    </w:p>
    <w:p w14:paraId="5346BFD3" w14:textId="77777777" w:rsidR="00862026" w:rsidRPr="00E2098C" w:rsidRDefault="00000000">
      <w:pPr>
        <w:pStyle w:val="Corpsdetexte"/>
        <w:spacing w:before="199" w:line="276" w:lineRule="auto"/>
        <w:ind w:right="15"/>
      </w:pPr>
      <w:r w:rsidRPr="00E2098C">
        <w:t>À ce jour, six</w:t>
      </w:r>
      <w:r w:rsidRPr="00E2098C">
        <w:rPr>
          <w:spacing w:val="-1"/>
        </w:rPr>
        <w:t xml:space="preserve"> </w:t>
      </w:r>
      <w:r w:rsidRPr="00E2098C">
        <w:t>pays de l’UE (le Portugal, la France, la Slovaquie, la Suède, la République tchèque et la Slovénie) ont déposé des demandes d’enregistrement des dénominations de leurs</w:t>
      </w:r>
      <w:r w:rsidRPr="00E2098C">
        <w:rPr>
          <w:spacing w:val="-16"/>
        </w:rPr>
        <w:t xml:space="preserve"> </w:t>
      </w:r>
      <w:r w:rsidRPr="00E2098C">
        <w:t>produits</w:t>
      </w:r>
      <w:r w:rsidRPr="00E2098C">
        <w:rPr>
          <w:spacing w:val="-15"/>
        </w:rPr>
        <w:t xml:space="preserve"> </w:t>
      </w:r>
      <w:r w:rsidRPr="00E2098C">
        <w:t>en</w:t>
      </w:r>
      <w:r w:rsidRPr="00E2098C">
        <w:rPr>
          <w:spacing w:val="-15"/>
        </w:rPr>
        <w:t xml:space="preserve"> </w:t>
      </w:r>
      <w:r w:rsidRPr="00E2098C">
        <w:t>tant</w:t>
      </w:r>
      <w:r w:rsidRPr="00E2098C">
        <w:rPr>
          <w:spacing w:val="-16"/>
        </w:rPr>
        <w:t xml:space="preserve"> </w:t>
      </w:r>
      <w:r w:rsidRPr="00E2098C">
        <w:t>qu’indications</w:t>
      </w:r>
      <w:r w:rsidRPr="00E2098C">
        <w:rPr>
          <w:spacing w:val="-15"/>
        </w:rPr>
        <w:t xml:space="preserve"> </w:t>
      </w:r>
      <w:r w:rsidRPr="00E2098C">
        <w:t>géographiques</w:t>
      </w:r>
      <w:r w:rsidRPr="00E2098C">
        <w:rPr>
          <w:spacing w:val="-13"/>
        </w:rPr>
        <w:t xml:space="preserve"> </w:t>
      </w:r>
      <w:r w:rsidRPr="00E2098C">
        <w:t>pour</w:t>
      </w:r>
      <w:r w:rsidRPr="00E2098C">
        <w:rPr>
          <w:spacing w:val="-16"/>
        </w:rPr>
        <w:t xml:space="preserve"> </w:t>
      </w:r>
      <w:r w:rsidRPr="00E2098C">
        <w:t>des</w:t>
      </w:r>
      <w:r w:rsidRPr="00E2098C">
        <w:rPr>
          <w:spacing w:val="-15"/>
        </w:rPr>
        <w:t xml:space="preserve"> </w:t>
      </w:r>
      <w:r w:rsidRPr="00E2098C">
        <w:t>produits</w:t>
      </w:r>
      <w:r w:rsidRPr="00E2098C">
        <w:rPr>
          <w:spacing w:val="-14"/>
        </w:rPr>
        <w:t xml:space="preserve"> </w:t>
      </w:r>
      <w:r w:rsidRPr="00E2098C">
        <w:t>artisanaux</w:t>
      </w:r>
      <w:r w:rsidRPr="00E2098C">
        <w:rPr>
          <w:spacing w:val="-14"/>
        </w:rPr>
        <w:t xml:space="preserve"> </w:t>
      </w:r>
      <w:r w:rsidRPr="00E2098C">
        <w:t>et</w:t>
      </w:r>
      <w:r w:rsidRPr="00E2098C">
        <w:rPr>
          <w:spacing w:val="-15"/>
        </w:rPr>
        <w:t xml:space="preserve"> </w:t>
      </w:r>
      <w:r w:rsidRPr="00E2098C">
        <w:t>industriels. Un</w:t>
      </w:r>
      <w:r w:rsidRPr="00E2098C">
        <w:rPr>
          <w:spacing w:val="-5"/>
        </w:rPr>
        <w:t xml:space="preserve"> </w:t>
      </w:r>
      <w:r w:rsidRPr="00E2098C">
        <w:t>large</w:t>
      </w:r>
      <w:r w:rsidRPr="00E2098C">
        <w:rPr>
          <w:spacing w:val="-5"/>
        </w:rPr>
        <w:t xml:space="preserve"> </w:t>
      </w:r>
      <w:r w:rsidRPr="00E2098C">
        <w:t>éventail</w:t>
      </w:r>
      <w:r w:rsidRPr="00E2098C">
        <w:rPr>
          <w:spacing w:val="-6"/>
        </w:rPr>
        <w:t xml:space="preserve"> </w:t>
      </w:r>
      <w:r w:rsidRPr="00E2098C">
        <w:t>de</w:t>
      </w:r>
      <w:r w:rsidRPr="00E2098C">
        <w:rPr>
          <w:spacing w:val="-8"/>
        </w:rPr>
        <w:t xml:space="preserve"> </w:t>
      </w:r>
      <w:r w:rsidRPr="00E2098C">
        <w:t>secteurs</w:t>
      </w:r>
      <w:r w:rsidRPr="00E2098C">
        <w:rPr>
          <w:spacing w:val="-5"/>
        </w:rPr>
        <w:t xml:space="preserve"> </w:t>
      </w:r>
      <w:r w:rsidRPr="00E2098C">
        <w:t>est</w:t>
      </w:r>
      <w:r w:rsidRPr="00E2098C">
        <w:rPr>
          <w:spacing w:val="-6"/>
        </w:rPr>
        <w:t xml:space="preserve"> </w:t>
      </w:r>
      <w:r w:rsidRPr="00E2098C">
        <w:t>représenté,</w:t>
      </w:r>
      <w:r w:rsidRPr="00E2098C">
        <w:rPr>
          <w:spacing w:val="-6"/>
        </w:rPr>
        <w:t xml:space="preserve"> </w:t>
      </w:r>
      <w:r w:rsidRPr="00E2098C">
        <w:t>notamment</w:t>
      </w:r>
      <w:r w:rsidRPr="00E2098C">
        <w:rPr>
          <w:spacing w:val="-4"/>
        </w:rPr>
        <w:t xml:space="preserve"> </w:t>
      </w:r>
      <w:r w:rsidRPr="00E2098C">
        <w:t>les</w:t>
      </w:r>
      <w:r w:rsidRPr="00E2098C">
        <w:rPr>
          <w:spacing w:val="-7"/>
        </w:rPr>
        <w:t xml:space="preserve"> </w:t>
      </w:r>
      <w:r w:rsidRPr="00E2098C">
        <w:t>produits</w:t>
      </w:r>
      <w:r w:rsidRPr="00E2098C">
        <w:rPr>
          <w:spacing w:val="-7"/>
        </w:rPr>
        <w:t xml:space="preserve"> </w:t>
      </w:r>
      <w:r w:rsidRPr="00E2098C">
        <w:t>textiles</w:t>
      </w:r>
      <w:r w:rsidRPr="00E2098C">
        <w:rPr>
          <w:spacing w:val="-5"/>
        </w:rPr>
        <w:t xml:space="preserve"> </w:t>
      </w:r>
      <w:r w:rsidRPr="00E2098C">
        <w:t>(22),</w:t>
      </w:r>
      <w:r w:rsidRPr="00E2098C">
        <w:rPr>
          <w:spacing w:val="-6"/>
        </w:rPr>
        <w:t xml:space="preserve"> </w:t>
      </w:r>
      <w:r w:rsidRPr="00E2098C">
        <w:t>les</w:t>
      </w:r>
      <w:r w:rsidRPr="00E2098C">
        <w:rPr>
          <w:spacing w:val="-5"/>
        </w:rPr>
        <w:t xml:space="preserve"> </w:t>
      </w:r>
      <w:r w:rsidRPr="00E2098C">
        <w:t>pierres et</w:t>
      </w:r>
      <w:r w:rsidRPr="00E2098C">
        <w:rPr>
          <w:spacing w:val="-11"/>
        </w:rPr>
        <w:t xml:space="preserve"> </w:t>
      </w:r>
      <w:r w:rsidRPr="00E2098C">
        <w:t>minéraux</w:t>
      </w:r>
      <w:r w:rsidRPr="00E2098C">
        <w:rPr>
          <w:spacing w:val="-14"/>
        </w:rPr>
        <w:t xml:space="preserve"> </w:t>
      </w:r>
      <w:r w:rsidRPr="00E2098C">
        <w:t>(14),</w:t>
      </w:r>
      <w:r w:rsidRPr="00E2098C">
        <w:rPr>
          <w:spacing w:val="-11"/>
        </w:rPr>
        <w:t xml:space="preserve"> </w:t>
      </w:r>
      <w:r w:rsidRPr="00E2098C">
        <w:t>les</w:t>
      </w:r>
      <w:r w:rsidRPr="00E2098C">
        <w:rPr>
          <w:spacing w:val="-12"/>
        </w:rPr>
        <w:t xml:space="preserve"> </w:t>
      </w:r>
      <w:r w:rsidRPr="00E2098C">
        <w:t>produits</w:t>
      </w:r>
      <w:r w:rsidRPr="00E2098C">
        <w:rPr>
          <w:spacing w:val="-12"/>
        </w:rPr>
        <w:t xml:space="preserve"> </w:t>
      </w:r>
      <w:r w:rsidRPr="00E2098C">
        <w:t>céramiques</w:t>
      </w:r>
      <w:r w:rsidRPr="00E2098C">
        <w:rPr>
          <w:spacing w:val="-12"/>
        </w:rPr>
        <w:t xml:space="preserve"> </w:t>
      </w:r>
      <w:r w:rsidRPr="00E2098C">
        <w:t>(10),</w:t>
      </w:r>
      <w:r w:rsidRPr="00E2098C">
        <w:rPr>
          <w:spacing w:val="-11"/>
        </w:rPr>
        <w:t xml:space="preserve"> </w:t>
      </w:r>
      <w:r w:rsidRPr="00E2098C">
        <w:t>les</w:t>
      </w:r>
      <w:r w:rsidRPr="00E2098C">
        <w:rPr>
          <w:spacing w:val="-9"/>
        </w:rPr>
        <w:t xml:space="preserve"> </w:t>
      </w:r>
      <w:r w:rsidRPr="00E2098C">
        <w:t>articles</w:t>
      </w:r>
      <w:r w:rsidRPr="00E2098C">
        <w:rPr>
          <w:spacing w:val="-12"/>
        </w:rPr>
        <w:t xml:space="preserve"> </w:t>
      </w:r>
      <w:r w:rsidRPr="00E2098C">
        <w:t>d’habillement</w:t>
      </w:r>
      <w:r w:rsidRPr="00E2098C">
        <w:rPr>
          <w:spacing w:val="-11"/>
        </w:rPr>
        <w:t xml:space="preserve"> </w:t>
      </w:r>
      <w:r w:rsidRPr="00E2098C">
        <w:t>(5)</w:t>
      </w:r>
      <w:r w:rsidRPr="00E2098C">
        <w:rPr>
          <w:spacing w:val="-9"/>
        </w:rPr>
        <w:t xml:space="preserve"> </w:t>
      </w:r>
      <w:r w:rsidRPr="00E2098C">
        <w:t>et</w:t>
      </w:r>
      <w:r w:rsidRPr="00E2098C">
        <w:rPr>
          <w:spacing w:val="-11"/>
        </w:rPr>
        <w:t xml:space="preserve"> </w:t>
      </w:r>
      <w:r w:rsidRPr="00E2098C">
        <w:t>les</w:t>
      </w:r>
      <w:r w:rsidRPr="00E2098C">
        <w:rPr>
          <w:spacing w:val="-12"/>
        </w:rPr>
        <w:t xml:space="preserve"> </w:t>
      </w:r>
      <w:r w:rsidRPr="00E2098C">
        <w:t>instruments de musique (5), ainsi qu’un nombre plus restreint de demandes dans les domaines de la joaillerie (2), du mobilier (1) et de la coutellerie (1).</w:t>
      </w:r>
    </w:p>
    <w:p w14:paraId="5C39D831" w14:textId="495BA759" w:rsidR="00862026" w:rsidRPr="00E2098C" w:rsidRDefault="00000000">
      <w:pPr>
        <w:pStyle w:val="Corpsdetexte"/>
        <w:spacing w:before="201" w:line="278" w:lineRule="auto"/>
        <w:ind w:right="16"/>
      </w:pPr>
      <w:r w:rsidRPr="00E2098C">
        <w:t xml:space="preserve">Afin de faciliter l’accès au système, l’EUIPO continue de fournir des outils d’aide et des orientations complètes. </w:t>
      </w:r>
      <w:proofErr w:type="spellStart"/>
      <w:r w:rsidRPr="00E2098C">
        <w:t>GIportal</w:t>
      </w:r>
      <w:proofErr w:type="spellEnd"/>
      <w:r w:rsidRPr="00E2098C">
        <w:t xml:space="preserve"> sert de plateforme centralisée pour le dépôt des demandes auprès de l’EUIPO.</w:t>
      </w:r>
    </w:p>
    <w:p w14:paraId="3227C823" w14:textId="49EFEABA" w:rsidR="00862026" w:rsidRPr="00E2098C" w:rsidRDefault="00000000" w:rsidP="00E2098C">
      <w:pPr>
        <w:pStyle w:val="Corpsdetexte"/>
        <w:spacing w:before="201" w:line="278" w:lineRule="auto"/>
        <w:ind w:right="16"/>
      </w:pPr>
      <w:r w:rsidRPr="00E2098C">
        <w:t xml:space="preserve">La transparence est assurée par </w:t>
      </w:r>
      <w:proofErr w:type="spellStart"/>
      <w:r w:rsidRPr="00E2098C">
        <w:t>GIview</w:t>
      </w:r>
      <w:proofErr w:type="spellEnd"/>
      <w:r w:rsidRPr="00E2098C">
        <w:t>, une base de données en ligne sur les indications géographiques pour les produits artisanaux et industriels, accessible gratuitement aux citoyens et aux entreprises, qui permet aux utilisateurs de consulter les dénominations enregistrées</w:t>
      </w:r>
      <w:r w:rsidRPr="00E2098C">
        <w:rPr>
          <w:spacing w:val="-7"/>
        </w:rPr>
        <w:t xml:space="preserve"> </w:t>
      </w:r>
      <w:r w:rsidRPr="00E2098C">
        <w:t>et</w:t>
      </w:r>
      <w:r w:rsidRPr="00E2098C">
        <w:rPr>
          <w:spacing w:val="-8"/>
        </w:rPr>
        <w:t xml:space="preserve"> </w:t>
      </w:r>
      <w:r w:rsidRPr="00E2098C">
        <w:t>les</w:t>
      </w:r>
      <w:r w:rsidRPr="00E2098C">
        <w:rPr>
          <w:spacing w:val="-7"/>
        </w:rPr>
        <w:t xml:space="preserve"> </w:t>
      </w:r>
      <w:r w:rsidRPr="00E2098C">
        <w:t>détails</w:t>
      </w:r>
      <w:r w:rsidRPr="00E2098C">
        <w:rPr>
          <w:spacing w:val="-7"/>
        </w:rPr>
        <w:t xml:space="preserve"> </w:t>
      </w:r>
      <w:r w:rsidRPr="00E2098C">
        <w:t>des</w:t>
      </w:r>
      <w:r w:rsidRPr="00E2098C">
        <w:rPr>
          <w:spacing w:val="-9"/>
        </w:rPr>
        <w:t xml:space="preserve"> </w:t>
      </w:r>
      <w:r w:rsidRPr="00E2098C">
        <w:t>demandes,</w:t>
      </w:r>
      <w:r w:rsidRPr="00E2098C">
        <w:rPr>
          <w:spacing w:val="-11"/>
        </w:rPr>
        <w:t xml:space="preserve"> </w:t>
      </w:r>
      <w:r w:rsidRPr="00E2098C">
        <w:t>favorisant</w:t>
      </w:r>
      <w:r w:rsidRPr="00E2098C">
        <w:rPr>
          <w:spacing w:val="-6"/>
        </w:rPr>
        <w:t xml:space="preserve"> </w:t>
      </w:r>
      <w:r w:rsidRPr="00E2098C">
        <w:t>ainsi</w:t>
      </w:r>
      <w:r w:rsidRPr="00E2098C">
        <w:rPr>
          <w:spacing w:val="-11"/>
        </w:rPr>
        <w:t xml:space="preserve"> </w:t>
      </w:r>
      <w:r w:rsidRPr="00E2098C">
        <w:t>une</w:t>
      </w:r>
      <w:r w:rsidRPr="00E2098C">
        <w:rPr>
          <w:spacing w:val="-10"/>
        </w:rPr>
        <w:t xml:space="preserve"> </w:t>
      </w:r>
      <w:r w:rsidRPr="00E2098C">
        <w:t>prise</w:t>
      </w:r>
      <w:r w:rsidRPr="00E2098C">
        <w:rPr>
          <w:spacing w:val="-10"/>
        </w:rPr>
        <w:t xml:space="preserve"> </w:t>
      </w:r>
      <w:r w:rsidRPr="00E2098C">
        <w:t>de</w:t>
      </w:r>
      <w:r w:rsidRPr="00E2098C">
        <w:rPr>
          <w:spacing w:val="-10"/>
        </w:rPr>
        <w:t xml:space="preserve"> </w:t>
      </w:r>
      <w:r w:rsidRPr="00E2098C">
        <w:t>décision</w:t>
      </w:r>
      <w:r w:rsidRPr="00E2098C">
        <w:rPr>
          <w:spacing w:val="-8"/>
        </w:rPr>
        <w:t xml:space="preserve"> </w:t>
      </w:r>
      <w:r w:rsidRPr="00E2098C">
        <w:t>éclairée</w:t>
      </w:r>
      <w:r w:rsidRPr="00E2098C">
        <w:rPr>
          <w:spacing w:val="-8"/>
        </w:rPr>
        <w:t xml:space="preserve"> </w:t>
      </w:r>
      <w:r w:rsidRPr="00E2098C">
        <w:t>dans toute l’UE.</w:t>
      </w:r>
    </w:p>
    <w:p w14:paraId="3B35B59D" w14:textId="77777777" w:rsidR="00862026" w:rsidRPr="00E2098C" w:rsidRDefault="00862026">
      <w:pPr>
        <w:pStyle w:val="Corpsdetexte"/>
        <w:spacing w:line="276" w:lineRule="auto"/>
        <w:sectPr w:rsidR="00862026" w:rsidRPr="00E2098C">
          <w:pgSz w:w="11910" w:h="16840"/>
          <w:pgMar w:top="1740" w:right="1417" w:bottom="1200" w:left="1417" w:header="708" w:footer="1003" w:gutter="0"/>
          <w:cols w:space="720"/>
        </w:sectPr>
      </w:pPr>
    </w:p>
    <w:p w14:paraId="16852C24" w14:textId="2D90CB45" w:rsidR="00862026" w:rsidRPr="00E2098C" w:rsidRDefault="00000000">
      <w:pPr>
        <w:pStyle w:val="Corpsdetexte"/>
        <w:spacing w:before="83" w:line="276" w:lineRule="auto"/>
        <w:ind w:right="16"/>
      </w:pPr>
      <w:r w:rsidRPr="00E2098C">
        <w:lastRenderedPageBreak/>
        <w:t>Parallèlement, l’EUIPO a</w:t>
      </w:r>
      <w:r w:rsidRPr="00E2098C">
        <w:rPr>
          <w:spacing w:val="-2"/>
        </w:rPr>
        <w:t xml:space="preserve"> </w:t>
      </w:r>
      <w:r w:rsidRPr="00E2098C">
        <w:t>élargi son offre de</w:t>
      </w:r>
      <w:r w:rsidRPr="00E2098C">
        <w:rPr>
          <w:spacing w:val="-2"/>
        </w:rPr>
        <w:t xml:space="preserve"> </w:t>
      </w:r>
      <w:r w:rsidRPr="00E2098C">
        <w:t>formation grâce à une</w:t>
      </w:r>
      <w:r w:rsidRPr="00E2098C">
        <w:rPr>
          <w:spacing w:val="-2"/>
        </w:rPr>
        <w:t xml:space="preserve"> </w:t>
      </w:r>
      <w:r w:rsidRPr="00E2098C">
        <w:t>série de modules sur</w:t>
      </w:r>
      <w:r w:rsidRPr="00E2098C">
        <w:rPr>
          <w:spacing w:val="-1"/>
        </w:rPr>
        <w:t xml:space="preserve"> </w:t>
      </w:r>
      <w:r w:rsidRPr="00E2098C">
        <w:t>son portail d’apprentissage en ligne. La formation</w:t>
      </w:r>
      <w:proofErr w:type="gramStart"/>
      <w:r w:rsidRPr="00E2098C">
        <w:t xml:space="preserve"> </w:t>
      </w:r>
      <w:r w:rsidRPr="00E2098C">
        <w:rPr>
          <w:rFonts w:ascii="Arial" w:hAnsi="Arial"/>
          <w:i/>
        </w:rPr>
        <w:t>«</w:t>
      </w:r>
      <w:proofErr w:type="spellStart"/>
      <w:r w:rsidRPr="00E2098C">
        <w:rPr>
          <w:rFonts w:ascii="Arial" w:hAnsi="Arial"/>
          <w:i/>
          <w:u w:val="single"/>
        </w:rPr>
        <w:t>CIGIs</w:t>
      </w:r>
      <w:proofErr w:type="spellEnd"/>
      <w:proofErr w:type="gramEnd"/>
      <w:r w:rsidRPr="00E2098C">
        <w:rPr>
          <w:rFonts w:ascii="Arial" w:hAnsi="Arial"/>
          <w:i/>
          <w:u w:val="single"/>
        </w:rPr>
        <w:t xml:space="preserve"> in a </w:t>
      </w:r>
      <w:proofErr w:type="spellStart"/>
      <w:proofErr w:type="gramStart"/>
      <w:r w:rsidRPr="00E2098C">
        <w:rPr>
          <w:rFonts w:ascii="Arial" w:hAnsi="Arial"/>
          <w:i/>
          <w:u w:val="single"/>
        </w:rPr>
        <w:t>nutshell</w:t>
      </w:r>
      <w:proofErr w:type="spellEnd"/>
      <w:r w:rsidRPr="00E2098C">
        <w:rPr>
          <w:rFonts w:ascii="Arial" w:hAnsi="Arial"/>
          <w:i/>
        </w:rPr>
        <w:t>»</w:t>
      </w:r>
      <w:proofErr w:type="gramEnd"/>
      <w:r w:rsidRPr="00E2098C">
        <w:rPr>
          <w:rFonts w:ascii="Arial" w:hAnsi="Arial"/>
          <w:i/>
        </w:rPr>
        <w:t xml:space="preserve"> </w:t>
      </w:r>
      <w:r w:rsidRPr="00E2098C">
        <w:t xml:space="preserve">présente le système et ses aspects clés, comme les procédures d’enregistrement, les cahiers des charges et les exigences post-enregistrement. </w:t>
      </w:r>
      <w:r w:rsidRPr="00E2098C">
        <w:rPr>
          <w:u w:val="single"/>
        </w:rPr>
        <w:t>Des ateliers interactifs et des</w:t>
      </w:r>
      <w:r w:rsidRPr="00E2098C">
        <w:rPr>
          <w:spacing w:val="-1"/>
          <w:u w:val="single"/>
        </w:rPr>
        <w:t xml:space="preserve"> </w:t>
      </w:r>
      <w:r w:rsidRPr="00E2098C">
        <w:rPr>
          <w:u w:val="single"/>
        </w:rPr>
        <w:t>ressources</w:t>
      </w:r>
      <w:r w:rsidRPr="00E2098C">
        <w:rPr>
          <w:spacing w:val="-1"/>
          <w:u w:val="single"/>
        </w:rPr>
        <w:t xml:space="preserve"> </w:t>
      </w:r>
      <w:r w:rsidRPr="00E2098C">
        <w:rPr>
          <w:u w:val="single"/>
        </w:rPr>
        <w:t>multilingues</w:t>
      </w:r>
      <w:r w:rsidRPr="00E2098C">
        <w:t xml:space="preserve"> aident en outre les producteurs et les parties prenantes à s’orienter tout au long du processus et à faire valoir leurs droits.</w:t>
      </w:r>
    </w:p>
    <w:p w14:paraId="0DFB2E55" w14:textId="77777777" w:rsidR="00862026" w:rsidRPr="00E2098C" w:rsidRDefault="00000000">
      <w:pPr>
        <w:spacing w:before="203"/>
        <w:ind w:left="23"/>
        <w:jc w:val="both"/>
        <w:rPr>
          <w:rFonts w:ascii="Arial" w:hAnsi="Arial"/>
          <w:b/>
        </w:rPr>
      </w:pPr>
      <w:r w:rsidRPr="00E2098C">
        <w:rPr>
          <w:rFonts w:ascii="Arial" w:hAnsi="Arial"/>
          <w:b/>
        </w:rPr>
        <w:t>Différentes</w:t>
      </w:r>
      <w:r w:rsidRPr="00E2098C">
        <w:rPr>
          <w:rFonts w:ascii="Arial" w:hAnsi="Arial"/>
          <w:b/>
          <w:spacing w:val="-9"/>
        </w:rPr>
        <w:t xml:space="preserve"> </w:t>
      </w:r>
      <w:r w:rsidRPr="00E2098C">
        <w:rPr>
          <w:rFonts w:ascii="Arial" w:hAnsi="Arial"/>
          <w:b/>
        </w:rPr>
        <w:t>voies</w:t>
      </w:r>
      <w:r w:rsidRPr="00E2098C">
        <w:rPr>
          <w:rFonts w:ascii="Arial" w:hAnsi="Arial"/>
          <w:b/>
          <w:spacing w:val="-8"/>
        </w:rPr>
        <w:t xml:space="preserve"> </w:t>
      </w:r>
      <w:r w:rsidRPr="00E2098C">
        <w:rPr>
          <w:rFonts w:ascii="Arial" w:hAnsi="Arial"/>
          <w:b/>
        </w:rPr>
        <w:t>d’enregistrement</w:t>
      </w:r>
      <w:r w:rsidRPr="00E2098C">
        <w:rPr>
          <w:rFonts w:ascii="Arial" w:hAnsi="Arial"/>
          <w:b/>
          <w:spacing w:val="-8"/>
        </w:rPr>
        <w:t xml:space="preserve"> </w:t>
      </w:r>
      <w:r w:rsidRPr="00E2098C">
        <w:rPr>
          <w:rFonts w:ascii="Arial" w:hAnsi="Arial"/>
          <w:b/>
        </w:rPr>
        <w:t>à</w:t>
      </w:r>
      <w:r w:rsidRPr="00E2098C">
        <w:rPr>
          <w:rFonts w:ascii="Arial" w:hAnsi="Arial"/>
          <w:b/>
          <w:spacing w:val="-8"/>
        </w:rPr>
        <w:t xml:space="preserve"> </w:t>
      </w:r>
      <w:r w:rsidRPr="00E2098C">
        <w:rPr>
          <w:rFonts w:ascii="Arial" w:hAnsi="Arial"/>
          <w:b/>
        </w:rPr>
        <w:t>travers</w:t>
      </w:r>
      <w:r w:rsidRPr="00E2098C">
        <w:rPr>
          <w:rFonts w:ascii="Arial" w:hAnsi="Arial"/>
          <w:b/>
          <w:spacing w:val="-8"/>
        </w:rPr>
        <w:t xml:space="preserve"> </w:t>
      </w:r>
      <w:r w:rsidRPr="00E2098C">
        <w:rPr>
          <w:rFonts w:ascii="Arial" w:hAnsi="Arial"/>
          <w:b/>
          <w:spacing w:val="-4"/>
        </w:rPr>
        <w:t>l’UE</w:t>
      </w:r>
    </w:p>
    <w:p w14:paraId="782D30C4" w14:textId="77777777" w:rsidR="00862026" w:rsidRPr="00E2098C" w:rsidRDefault="00000000">
      <w:pPr>
        <w:pStyle w:val="Corpsdetexte"/>
        <w:spacing w:before="235" w:line="276" w:lineRule="auto"/>
        <w:ind w:right="15"/>
      </w:pPr>
      <w:r w:rsidRPr="00E2098C">
        <w:t xml:space="preserve">La procédure d’enregistrement d’une IG pour des produits artisanaux ou industriels dépend de l’origine du produit. La plupart des pays de l’UE suivent une procédure d’enregistrement standard par l’intermédiaire des autorités nationales compétentes, tandis que d’autres s’adressent directement à l’EUIPO via le </w:t>
      </w:r>
      <w:proofErr w:type="spellStart"/>
      <w:r w:rsidRPr="00E2098C">
        <w:t>GIportal</w:t>
      </w:r>
      <w:proofErr w:type="spellEnd"/>
      <w:r w:rsidRPr="00E2098C">
        <w:t>. Spécifiquement, sept</w:t>
      </w:r>
      <w:r w:rsidRPr="00E2098C">
        <w:rPr>
          <w:spacing w:val="-5"/>
        </w:rPr>
        <w:t xml:space="preserve"> </w:t>
      </w:r>
      <w:r w:rsidRPr="00E2098C">
        <w:t xml:space="preserve">États membres (le Danemark, la Finlande, la Lituanie, le Luxembourg, Malte, les Pays-Bas et la Suède) bénéficient d’une dérogation permettant de procéder à un enregistrement direct auprès de </w:t>
      </w:r>
      <w:r w:rsidRPr="00E2098C">
        <w:rPr>
          <w:spacing w:val="-2"/>
        </w:rPr>
        <w:t>l’EUIPO.</w:t>
      </w:r>
    </w:p>
    <w:p w14:paraId="78B4D0C0" w14:textId="77777777" w:rsidR="00862026" w:rsidRPr="00E2098C" w:rsidRDefault="00000000">
      <w:pPr>
        <w:pStyle w:val="Corpsdetexte"/>
        <w:spacing w:before="201" w:line="278" w:lineRule="auto"/>
        <w:ind w:right="18"/>
      </w:pPr>
      <w:r w:rsidRPr="00E2098C">
        <w:t>Pour</w:t>
      </w:r>
      <w:r w:rsidRPr="00E2098C">
        <w:rPr>
          <w:spacing w:val="-6"/>
        </w:rPr>
        <w:t xml:space="preserve"> </w:t>
      </w:r>
      <w:r w:rsidRPr="00E2098C">
        <w:t>les</w:t>
      </w:r>
      <w:r w:rsidRPr="00E2098C">
        <w:rPr>
          <w:spacing w:val="-7"/>
        </w:rPr>
        <w:t xml:space="preserve"> </w:t>
      </w:r>
      <w:r w:rsidRPr="00E2098C">
        <w:t>dénominations</w:t>
      </w:r>
      <w:r w:rsidRPr="00E2098C">
        <w:rPr>
          <w:spacing w:val="-9"/>
        </w:rPr>
        <w:t xml:space="preserve"> </w:t>
      </w:r>
      <w:r w:rsidRPr="00E2098C">
        <w:t>de</w:t>
      </w:r>
      <w:r w:rsidRPr="00E2098C">
        <w:rPr>
          <w:spacing w:val="-8"/>
        </w:rPr>
        <w:t xml:space="preserve"> </w:t>
      </w:r>
      <w:r w:rsidRPr="00E2098C">
        <w:t>produits</w:t>
      </w:r>
      <w:r w:rsidRPr="00E2098C">
        <w:rPr>
          <w:spacing w:val="-7"/>
        </w:rPr>
        <w:t xml:space="preserve"> </w:t>
      </w:r>
      <w:r w:rsidRPr="00E2098C">
        <w:t>déjà</w:t>
      </w:r>
      <w:r w:rsidRPr="00E2098C">
        <w:rPr>
          <w:spacing w:val="-7"/>
        </w:rPr>
        <w:t xml:space="preserve"> </w:t>
      </w:r>
      <w:r w:rsidRPr="00E2098C">
        <w:t>protégées</w:t>
      </w:r>
      <w:r w:rsidRPr="00E2098C">
        <w:rPr>
          <w:spacing w:val="-7"/>
        </w:rPr>
        <w:t xml:space="preserve"> </w:t>
      </w:r>
      <w:r w:rsidRPr="00E2098C">
        <w:t>au</w:t>
      </w:r>
      <w:r w:rsidRPr="00E2098C">
        <w:rPr>
          <w:spacing w:val="-8"/>
        </w:rPr>
        <w:t xml:space="preserve"> </w:t>
      </w:r>
      <w:r w:rsidRPr="00E2098C">
        <w:t>niveau</w:t>
      </w:r>
      <w:r w:rsidRPr="00E2098C">
        <w:rPr>
          <w:spacing w:val="-7"/>
        </w:rPr>
        <w:t xml:space="preserve"> </w:t>
      </w:r>
      <w:r w:rsidRPr="00E2098C">
        <w:t>national,</w:t>
      </w:r>
      <w:r w:rsidRPr="00E2098C">
        <w:rPr>
          <w:spacing w:val="-6"/>
        </w:rPr>
        <w:t xml:space="preserve"> </w:t>
      </w:r>
      <w:r w:rsidRPr="00E2098C">
        <w:t>les</w:t>
      </w:r>
      <w:r w:rsidRPr="00E2098C">
        <w:rPr>
          <w:spacing w:val="-7"/>
        </w:rPr>
        <w:t xml:space="preserve"> </w:t>
      </w:r>
      <w:r w:rsidRPr="00E2098C">
        <w:t>demandes</w:t>
      </w:r>
      <w:r w:rsidRPr="00E2098C">
        <w:rPr>
          <w:spacing w:val="-9"/>
        </w:rPr>
        <w:t xml:space="preserve"> </w:t>
      </w:r>
      <w:r w:rsidRPr="00E2098C">
        <w:t>doivent être présentées par l’État membre concerné.</w:t>
      </w:r>
    </w:p>
    <w:p w14:paraId="4BB95833" w14:textId="02D4E548" w:rsidR="00862026" w:rsidRPr="00E2098C" w:rsidRDefault="00000000">
      <w:pPr>
        <w:spacing w:before="195" w:line="276" w:lineRule="auto"/>
        <w:ind w:left="23" w:right="23"/>
        <w:jc w:val="both"/>
        <w:rPr>
          <w:rFonts w:ascii="Arial" w:hAnsi="Arial"/>
          <w:b/>
          <w:u w:val="single"/>
        </w:rPr>
      </w:pPr>
      <w:r w:rsidRPr="00E2098C">
        <w:rPr>
          <w:rFonts w:ascii="Arial" w:hAnsi="Arial"/>
          <w:b/>
          <w:u w:val="single"/>
        </w:rPr>
        <w:t xml:space="preserve">Plus d’informations sur les indications géographiques pour les produits artisanaux et </w:t>
      </w:r>
      <w:hyperlink r:id="rId9">
        <w:r w:rsidRPr="00E2098C">
          <w:rPr>
            <w:rFonts w:ascii="Arial" w:hAnsi="Arial"/>
            <w:b/>
            <w:spacing w:val="-2"/>
            <w:u w:val="single"/>
          </w:rPr>
          <w:t>industriels</w:t>
        </w:r>
      </w:hyperlink>
    </w:p>
    <w:p w14:paraId="20797F83" w14:textId="77777777" w:rsidR="00862026" w:rsidRPr="00E2098C" w:rsidRDefault="00862026">
      <w:pPr>
        <w:pStyle w:val="Corpsdetexte"/>
        <w:spacing w:before="39"/>
        <w:ind w:left="0"/>
        <w:jc w:val="left"/>
        <w:rPr>
          <w:rFonts w:ascii="Arial"/>
          <w:b/>
        </w:rPr>
      </w:pPr>
    </w:p>
    <w:p w14:paraId="701D760A" w14:textId="77777777" w:rsidR="00862026" w:rsidRPr="00E2098C" w:rsidRDefault="00000000">
      <w:pPr>
        <w:ind w:left="23"/>
        <w:jc w:val="both"/>
        <w:rPr>
          <w:rFonts w:ascii="Arial" w:hAnsi="Arial"/>
          <w:b/>
        </w:rPr>
      </w:pPr>
      <w:r w:rsidRPr="00E2098C">
        <w:rPr>
          <w:rFonts w:ascii="Arial" w:hAnsi="Arial"/>
          <w:b/>
        </w:rPr>
        <w:t>À</w:t>
      </w:r>
      <w:r w:rsidRPr="00E2098C">
        <w:rPr>
          <w:rFonts w:ascii="Arial" w:hAnsi="Arial"/>
          <w:b/>
          <w:spacing w:val="-1"/>
        </w:rPr>
        <w:t xml:space="preserve"> </w:t>
      </w:r>
      <w:r w:rsidRPr="00E2098C">
        <w:rPr>
          <w:rFonts w:ascii="Arial" w:hAnsi="Arial"/>
          <w:b/>
        </w:rPr>
        <w:t>PROPOS</w:t>
      </w:r>
      <w:r w:rsidRPr="00E2098C">
        <w:rPr>
          <w:rFonts w:ascii="Arial" w:hAnsi="Arial"/>
          <w:b/>
          <w:spacing w:val="-6"/>
        </w:rPr>
        <w:t xml:space="preserve"> </w:t>
      </w:r>
      <w:r w:rsidRPr="00E2098C">
        <w:rPr>
          <w:rFonts w:ascii="Arial" w:hAnsi="Arial"/>
          <w:b/>
        </w:rPr>
        <w:t>DE</w:t>
      </w:r>
      <w:r w:rsidRPr="00E2098C">
        <w:rPr>
          <w:rFonts w:ascii="Arial" w:hAnsi="Arial"/>
          <w:b/>
          <w:spacing w:val="-2"/>
        </w:rPr>
        <w:t xml:space="preserve"> L’EUIPO</w:t>
      </w:r>
    </w:p>
    <w:p w14:paraId="35465957" w14:textId="77777777" w:rsidR="00862026" w:rsidRPr="00E2098C" w:rsidRDefault="00862026">
      <w:pPr>
        <w:pStyle w:val="Corpsdetexte"/>
        <w:spacing w:before="75"/>
        <w:ind w:left="0"/>
        <w:jc w:val="left"/>
        <w:rPr>
          <w:rFonts w:ascii="Arial"/>
          <w:b/>
        </w:rPr>
      </w:pPr>
    </w:p>
    <w:p w14:paraId="66DE343F" w14:textId="7B61B386" w:rsidR="00862026" w:rsidRPr="00E2098C" w:rsidRDefault="00000000">
      <w:pPr>
        <w:pStyle w:val="Corpsdetexte"/>
        <w:spacing w:line="276" w:lineRule="auto"/>
        <w:ind w:right="15"/>
        <w:rPr>
          <w:u w:val="single"/>
        </w:rPr>
      </w:pPr>
      <w:r w:rsidRPr="00E2098C">
        <w:rPr>
          <w:u w:val="single"/>
        </w:rPr>
        <w:t xml:space="preserve">L’Office de l’Union européenne pour la propriété intellectuelle (EUIPO) </w:t>
      </w:r>
      <w:r w:rsidRPr="00E2098C">
        <w:t>est l’une des plus grandes agences décentralisées de l’Union européenne, implantée à Alicante, en Espagne, depuis sa création en 1994. L’EUIPO administre l’enregistrement des marques de l’Union européenne, des dessins et modèles de l’UE, ainsi que des indications géographiques pour les</w:t>
      </w:r>
      <w:r w:rsidRPr="00E2098C">
        <w:rPr>
          <w:spacing w:val="-3"/>
        </w:rPr>
        <w:t xml:space="preserve"> </w:t>
      </w:r>
      <w:r w:rsidRPr="00E2098C">
        <w:t>produits</w:t>
      </w:r>
      <w:r w:rsidRPr="00E2098C">
        <w:rPr>
          <w:spacing w:val="-5"/>
        </w:rPr>
        <w:t xml:space="preserve"> </w:t>
      </w:r>
      <w:r w:rsidRPr="00E2098C">
        <w:t>artisanaux</w:t>
      </w:r>
      <w:r w:rsidRPr="00E2098C">
        <w:rPr>
          <w:spacing w:val="-2"/>
        </w:rPr>
        <w:t xml:space="preserve"> </w:t>
      </w:r>
      <w:r w:rsidRPr="00E2098C">
        <w:t>et</w:t>
      </w:r>
      <w:r w:rsidRPr="00E2098C">
        <w:rPr>
          <w:spacing w:val="-4"/>
        </w:rPr>
        <w:t xml:space="preserve"> </w:t>
      </w:r>
      <w:r w:rsidRPr="00E2098C">
        <w:t>industriels,</w:t>
      </w:r>
      <w:r w:rsidRPr="00E2098C">
        <w:rPr>
          <w:spacing w:val="-3"/>
        </w:rPr>
        <w:t xml:space="preserve"> </w:t>
      </w:r>
      <w:r w:rsidRPr="00E2098C">
        <w:t>qui</w:t>
      </w:r>
      <w:r w:rsidRPr="00E2098C">
        <w:rPr>
          <w:spacing w:val="-3"/>
        </w:rPr>
        <w:t xml:space="preserve"> </w:t>
      </w:r>
      <w:r w:rsidRPr="00E2098C">
        <w:t>constituent</w:t>
      </w:r>
      <w:r w:rsidRPr="00E2098C">
        <w:rPr>
          <w:spacing w:val="-4"/>
        </w:rPr>
        <w:t xml:space="preserve"> </w:t>
      </w:r>
      <w:r w:rsidRPr="00E2098C">
        <w:t>tous</w:t>
      </w:r>
      <w:r w:rsidRPr="00E2098C">
        <w:rPr>
          <w:spacing w:val="-5"/>
        </w:rPr>
        <w:t xml:space="preserve"> </w:t>
      </w:r>
      <w:r w:rsidRPr="00E2098C">
        <w:t>des</w:t>
      </w:r>
      <w:r w:rsidRPr="00E2098C">
        <w:rPr>
          <w:spacing w:val="-5"/>
        </w:rPr>
        <w:t xml:space="preserve"> </w:t>
      </w:r>
      <w:r w:rsidRPr="00E2098C">
        <w:t>droits</w:t>
      </w:r>
      <w:r w:rsidRPr="00E2098C">
        <w:rPr>
          <w:spacing w:val="-5"/>
        </w:rPr>
        <w:t xml:space="preserve"> </w:t>
      </w:r>
      <w:r w:rsidRPr="00E2098C">
        <w:t>de</w:t>
      </w:r>
      <w:r w:rsidRPr="00E2098C">
        <w:rPr>
          <w:spacing w:val="-5"/>
        </w:rPr>
        <w:t xml:space="preserve"> </w:t>
      </w:r>
      <w:r w:rsidRPr="00E2098C">
        <w:t>propriété</w:t>
      </w:r>
      <w:r w:rsidRPr="00E2098C">
        <w:rPr>
          <w:spacing w:val="-5"/>
        </w:rPr>
        <w:t xml:space="preserve"> </w:t>
      </w:r>
      <w:r w:rsidRPr="00E2098C">
        <w:t>intellectuelle protégés dans les 27</w:t>
      </w:r>
      <w:r w:rsidRPr="00E2098C">
        <w:rPr>
          <w:spacing w:val="-2"/>
        </w:rPr>
        <w:t xml:space="preserve"> </w:t>
      </w:r>
      <w:r w:rsidRPr="00E2098C">
        <w:t xml:space="preserve">États membres de l’UE. L’EUIPO mène également des activités de coopération à l’échelle de l’UE et sur le plan international afin de créer des conditions équitables dans le domaine de la propriété intellectuelle et héberge </w:t>
      </w:r>
      <w:r w:rsidRPr="00E2098C">
        <w:rPr>
          <w:u w:val="single"/>
        </w:rPr>
        <w:t xml:space="preserve">l’Observatoire européen </w:t>
      </w:r>
      <w:hyperlink r:id="rId10">
        <w:r w:rsidRPr="00E2098C">
          <w:rPr>
            <w:u w:val="single"/>
          </w:rPr>
          <w:t>des atteintes aux droits de propriété intellectuelle</w:t>
        </w:r>
      </w:hyperlink>
      <w:r w:rsidRPr="00E2098C">
        <w:rPr>
          <w:u w:val="single"/>
        </w:rPr>
        <w:t>.</w:t>
      </w:r>
      <w:r w:rsidRPr="00E2098C">
        <w:t xml:space="preserve"> En 2025, l'EUIPO a été classé </w:t>
      </w:r>
      <w:hyperlink r:id="rId11">
        <w:r w:rsidRPr="00E2098C">
          <w:rPr>
            <w:u w:val="single"/>
          </w:rPr>
          <w:t>office de</w:t>
        </w:r>
      </w:hyperlink>
      <w:r w:rsidRPr="00E2098C">
        <w:rPr>
          <w:u w:val="single"/>
        </w:rPr>
        <w:t xml:space="preserve"> propriété intellectuelle le plus innovant au monde.</w:t>
      </w:r>
    </w:p>
    <w:p w14:paraId="75874653" w14:textId="77777777" w:rsidR="00862026" w:rsidRPr="00E2098C" w:rsidRDefault="00862026">
      <w:pPr>
        <w:pStyle w:val="Corpsdetexte"/>
        <w:spacing w:before="14"/>
        <w:ind w:left="0"/>
        <w:jc w:val="left"/>
        <w:rPr>
          <w:sz w:val="24"/>
          <w:u w:val="single"/>
        </w:rPr>
      </w:pPr>
    </w:p>
    <w:p w14:paraId="61A1DE81" w14:textId="77777777" w:rsidR="00862026" w:rsidRPr="00E2098C" w:rsidRDefault="00000000">
      <w:pPr>
        <w:spacing w:before="1"/>
        <w:ind w:left="23"/>
        <w:rPr>
          <w:rFonts w:ascii="Arial"/>
          <w:b/>
          <w:sz w:val="24"/>
        </w:rPr>
      </w:pPr>
      <w:r w:rsidRPr="00E2098C">
        <w:rPr>
          <w:rFonts w:ascii="Arial"/>
          <w:b/>
          <w:sz w:val="24"/>
        </w:rPr>
        <w:t>Contact</w:t>
      </w:r>
      <w:r w:rsidRPr="00E2098C">
        <w:rPr>
          <w:rFonts w:ascii="Arial"/>
          <w:b/>
          <w:spacing w:val="-2"/>
          <w:sz w:val="24"/>
        </w:rPr>
        <w:t xml:space="preserve"> presse</w:t>
      </w:r>
    </w:p>
    <w:p w14:paraId="19E1DA8D" w14:textId="77777777" w:rsidR="00862026" w:rsidRPr="00E2098C" w:rsidRDefault="00000000">
      <w:pPr>
        <w:spacing w:before="43"/>
        <w:ind w:left="23"/>
        <w:rPr>
          <w:rFonts w:ascii="Arial" w:hAnsi="Arial"/>
          <w:b/>
          <w:sz w:val="23"/>
        </w:rPr>
      </w:pPr>
      <w:r w:rsidRPr="00E2098C">
        <w:rPr>
          <w:rFonts w:ascii="Arial" w:hAnsi="Arial"/>
          <w:b/>
          <w:sz w:val="23"/>
        </w:rPr>
        <w:t>Service</w:t>
      </w:r>
      <w:r w:rsidRPr="00E2098C">
        <w:rPr>
          <w:rFonts w:ascii="Arial" w:hAnsi="Arial"/>
          <w:b/>
          <w:spacing w:val="-6"/>
          <w:sz w:val="23"/>
        </w:rPr>
        <w:t xml:space="preserve"> </w:t>
      </w:r>
      <w:r w:rsidRPr="00E2098C">
        <w:rPr>
          <w:rFonts w:ascii="Arial" w:hAnsi="Arial"/>
          <w:b/>
          <w:sz w:val="23"/>
        </w:rPr>
        <w:t>Communication et</w:t>
      </w:r>
      <w:r w:rsidRPr="00E2098C">
        <w:rPr>
          <w:rFonts w:ascii="Arial" w:hAnsi="Arial"/>
          <w:b/>
          <w:spacing w:val="-2"/>
          <w:sz w:val="23"/>
        </w:rPr>
        <w:t xml:space="preserve"> </w:t>
      </w:r>
      <w:r w:rsidRPr="00E2098C">
        <w:rPr>
          <w:rFonts w:ascii="Arial" w:hAnsi="Arial"/>
          <w:b/>
          <w:sz w:val="23"/>
        </w:rPr>
        <w:t>Relations</w:t>
      </w:r>
      <w:r w:rsidRPr="00E2098C">
        <w:rPr>
          <w:rFonts w:ascii="Arial" w:hAnsi="Arial"/>
          <w:b/>
          <w:spacing w:val="-4"/>
          <w:sz w:val="23"/>
        </w:rPr>
        <w:t xml:space="preserve"> </w:t>
      </w:r>
      <w:r w:rsidRPr="00E2098C">
        <w:rPr>
          <w:rFonts w:ascii="Arial" w:hAnsi="Arial"/>
          <w:b/>
          <w:sz w:val="23"/>
        </w:rPr>
        <w:t>avec</w:t>
      </w:r>
      <w:r w:rsidRPr="00E2098C">
        <w:rPr>
          <w:rFonts w:ascii="Arial" w:hAnsi="Arial"/>
          <w:b/>
          <w:spacing w:val="-4"/>
          <w:sz w:val="23"/>
        </w:rPr>
        <w:t xml:space="preserve"> </w:t>
      </w:r>
      <w:r w:rsidRPr="00E2098C">
        <w:rPr>
          <w:rFonts w:ascii="Arial" w:hAnsi="Arial"/>
          <w:b/>
          <w:sz w:val="23"/>
        </w:rPr>
        <w:t>les</w:t>
      </w:r>
      <w:r w:rsidRPr="00E2098C">
        <w:rPr>
          <w:rFonts w:ascii="Arial" w:hAnsi="Arial"/>
          <w:b/>
          <w:spacing w:val="-2"/>
          <w:sz w:val="23"/>
        </w:rPr>
        <w:t xml:space="preserve"> </w:t>
      </w:r>
      <w:r w:rsidRPr="00E2098C">
        <w:rPr>
          <w:rFonts w:ascii="Arial" w:hAnsi="Arial"/>
          <w:b/>
          <w:sz w:val="23"/>
        </w:rPr>
        <w:t>Médias</w:t>
      </w:r>
      <w:r w:rsidRPr="00E2098C">
        <w:rPr>
          <w:rFonts w:ascii="Arial" w:hAnsi="Arial"/>
          <w:b/>
          <w:spacing w:val="-3"/>
          <w:sz w:val="23"/>
        </w:rPr>
        <w:t xml:space="preserve"> </w:t>
      </w:r>
      <w:r w:rsidRPr="00E2098C">
        <w:rPr>
          <w:rFonts w:ascii="Arial" w:hAnsi="Arial"/>
          <w:b/>
          <w:sz w:val="23"/>
        </w:rPr>
        <w:t>de</w:t>
      </w:r>
      <w:r w:rsidRPr="00E2098C">
        <w:rPr>
          <w:rFonts w:ascii="Arial" w:hAnsi="Arial"/>
          <w:b/>
          <w:spacing w:val="-4"/>
          <w:sz w:val="23"/>
        </w:rPr>
        <w:t xml:space="preserve"> </w:t>
      </w:r>
      <w:r w:rsidRPr="00E2098C">
        <w:rPr>
          <w:rFonts w:ascii="Arial" w:hAnsi="Arial"/>
          <w:b/>
          <w:spacing w:val="-2"/>
          <w:sz w:val="23"/>
        </w:rPr>
        <w:t>l’EUIPO</w:t>
      </w:r>
    </w:p>
    <w:p w14:paraId="088A04FB" w14:textId="77777777" w:rsidR="00862026" w:rsidRPr="00E2098C" w:rsidRDefault="00000000">
      <w:pPr>
        <w:spacing w:before="38"/>
        <w:ind w:left="23"/>
        <w:rPr>
          <w:sz w:val="23"/>
        </w:rPr>
      </w:pPr>
      <w:r w:rsidRPr="00E2098C">
        <w:rPr>
          <w:sz w:val="23"/>
        </w:rPr>
        <w:t>Tél.</w:t>
      </w:r>
      <w:r w:rsidRPr="00E2098C">
        <w:rPr>
          <w:spacing w:val="-2"/>
          <w:sz w:val="23"/>
        </w:rPr>
        <w:t xml:space="preserve"> </w:t>
      </w:r>
      <w:r w:rsidRPr="00E2098C">
        <w:rPr>
          <w:sz w:val="23"/>
        </w:rPr>
        <w:t>+34</w:t>
      </w:r>
      <w:r w:rsidRPr="00E2098C">
        <w:rPr>
          <w:spacing w:val="-2"/>
          <w:sz w:val="23"/>
        </w:rPr>
        <w:t xml:space="preserve"> 653674113</w:t>
      </w:r>
    </w:p>
    <w:p w14:paraId="31EDB5AD" w14:textId="6C218931" w:rsidR="00862026" w:rsidRPr="00E2098C" w:rsidRDefault="00000000">
      <w:pPr>
        <w:spacing w:before="40"/>
        <w:ind w:left="23"/>
        <w:rPr>
          <w:sz w:val="23"/>
          <w:u w:val="single"/>
        </w:rPr>
      </w:pPr>
      <w:r w:rsidRPr="00E2098C">
        <w:rPr>
          <w:spacing w:val="-2"/>
          <w:sz w:val="23"/>
          <w:u w:val="single"/>
        </w:rPr>
        <w:t>press@euipo.europa.eu</w:t>
      </w:r>
    </w:p>
    <w:sectPr w:rsidR="00862026" w:rsidRPr="00E2098C">
      <w:pgSz w:w="11910" w:h="16840"/>
      <w:pgMar w:top="1740" w:right="1417" w:bottom="1200" w:left="1417" w:header="708"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3314C" w14:textId="77777777" w:rsidR="005901FC" w:rsidRDefault="005901FC">
      <w:r>
        <w:separator/>
      </w:r>
    </w:p>
  </w:endnote>
  <w:endnote w:type="continuationSeparator" w:id="0">
    <w:p w14:paraId="69185E94" w14:textId="77777777" w:rsidR="005901FC" w:rsidRDefault="00590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9C12" w14:textId="3B987CE0" w:rsidR="00862026" w:rsidRDefault="00862026">
    <w:pPr>
      <w:pStyle w:val="Corpsdetexte"/>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D4A7B" w14:textId="77777777" w:rsidR="005901FC" w:rsidRDefault="005901FC">
      <w:r>
        <w:separator/>
      </w:r>
    </w:p>
  </w:footnote>
  <w:footnote w:type="continuationSeparator" w:id="0">
    <w:p w14:paraId="3B1E4699" w14:textId="77777777" w:rsidR="005901FC" w:rsidRDefault="00590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7212B" w14:textId="77777777" w:rsidR="00862026" w:rsidRDefault="00000000">
    <w:pPr>
      <w:pStyle w:val="Corpsdetexte"/>
      <w:spacing w:line="14" w:lineRule="auto"/>
      <w:ind w:left="0"/>
      <w:jc w:val="left"/>
      <w:rPr>
        <w:sz w:val="20"/>
      </w:rPr>
    </w:pPr>
    <w:r>
      <w:rPr>
        <w:noProof/>
        <w:sz w:val="20"/>
      </w:rPr>
      <w:drawing>
        <wp:anchor distT="0" distB="0" distL="0" distR="0" simplePos="0" relativeHeight="487533056" behindDoc="1" locked="0" layoutInCell="1" allowOverlap="1" wp14:anchorId="770E5234" wp14:editId="7B748B93">
          <wp:simplePos x="0" y="0"/>
          <wp:positionH relativeFrom="page">
            <wp:posOffset>914400</wp:posOffset>
          </wp:positionH>
          <wp:positionV relativeFrom="page">
            <wp:posOffset>449579</wp:posOffset>
          </wp:positionV>
          <wp:extent cx="2148205" cy="53949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48205" cy="53949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C3DDA"/>
    <w:multiLevelType w:val="hybridMultilevel"/>
    <w:tmpl w:val="2E445A4A"/>
    <w:lvl w:ilvl="0" w:tplc="345C065A">
      <w:numFmt w:val="bullet"/>
      <w:lvlText w:val=""/>
      <w:lvlJc w:val="left"/>
      <w:pPr>
        <w:ind w:left="743" w:hanging="360"/>
      </w:pPr>
      <w:rPr>
        <w:rFonts w:ascii="Symbol" w:eastAsia="Symbol" w:hAnsi="Symbol" w:cs="Symbol" w:hint="default"/>
        <w:b w:val="0"/>
        <w:bCs w:val="0"/>
        <w:i w:val="0"/>
        <w:iCs w:val="0"/>
        <w:spacing w:val="0"/>
        <w:w w:val="100"/>
        <w:sz w:val="22"/>
        <w:szCs w:val="22"/>
        <w:lang w:val="fr-FR" w:eastAsia="en-US" w:bidi="ar-SA"/>
      </w:rPr>
    </w:lvl>
    <w:lvl w:ilvl="1" w:tplc="0D3E600C">
      <w:numFmt w:val="bullet"/>
      <w:lvlText w:val="•"/>
      <w:lvlJc w:val="left"/>
      <w:pPr>
        <w:ind w:left="1573" w:hanging="360"/>
      </w:pPr>
      <w:rPr>
        <w:rFonts w:hint="default"/>
        <w:lang w:val="fr-FR" w:eastAsia="en-US" w:bidi="ar-SA"/>
      </w:rPr>
    </w:lvl>
    <w:lvl w:ilvl="2" w:tplc="33DE2C0E">
      <w:numFmt w:val="bullet"/>
      <w:lvlText w:val="•"/>
      <w:lvlJc w:val="left"/>
      <w:pPr>
        <w:ind w:left="2406" w:hanging="360"/>
      </w:pPr>
      <w:rPr>
        <w:rFonts w:hint="default"/>
        <w:lang w:val="fr-FR" w:eastAsia="en-US" w:bidi="ar-SA"/>
      </w:rPr>
    </w:lvl>
    <w:lvl w:ilvl="3" w:tplc="62A25120">
      <w:numFmt w:val="bullet"/>
      <w:lvlText w:val="•"/>
      <w:lvlJc w:val="left"/>
      <w:pPr>
        <w:ind w:left="3239" w:hanging="360"/>
      </w:pPr>
      <w:rPr>
        <w:rFonts w:hint="default"/>
        <w:lang w:val="fr-FR" w:eastAsia="en-US" w:bidi="ar-SA"/>
      </w:rPr>
    </w:lvl>
    <w:lvl w:ilvl="4" w:tplc="8DC681E2">
      <w:numFmt w:val="bullet"/>
      <w:lvlText w:val="•"/>
      <w:lvlJc w:val="left"/>
      <w:pPr>
        <w:ind w:left="4072" w:hanging="360"/>
      </w:pPr>
      <w:rPr>
        <w:rFonts w:hint="default"/>
        <w:lang w:val="fr-FR" w:eastAsia="en-US" w:bidi="ar-SA"/>
      </w:rPr>
    </w:lvl>
    <w:lvl w:ilvl="5" w:tplc="5192DCAA">
      <w:numFmt w:val="bullet"/>
      <w:lvlText w:val="•"/>
      <w:lvlJc w:val="left"/>
      <w:pPr>
        <w:ind w:left="4906" w:hanging="360"/>
      </w:pPr>
      <w:rPr>
        <w:rFonts w:hint="default"/>
        <w:lang w:val="fr-FR" w:eastAsia="en-US" w:bidi="ar-SA"/>
      </w:rPr>
    </w:lvl>
    <w:lvl w:ilvl="6" w:tplc="02FCB6B8">
      <w:numFmt w:val="bullet"/>
      <w:lvlText w:val="•"/>
      <w:lvlJc w:val="left"/>
      <w:pPr>
        <w:ind w:left="5739" w:hanging="360"/>
      </w:pPr>
      <w:rPr>
        <w:rFonts w:hint="default"/>
        <w:lang w:val="fr-FR" w:eastAsia="en-US" w:bidi="ar-SA"/>
      </w:rPr>
    </w:lvl>
    <w:lvl w:ilvl="7" w:tplc="360CEE7E">
      <w:numFmt w:val="bullet"/>
      <w:lvlText w:val="•"/>
      <w:lvlJc w:val="left"/>
      <w:pPr>
        <w:ind w:left="6572" w:hanging="360"/>
      </w:pPr>
      <w:rPr>
        <w:rFonts w:hint="default"/>
        <w:lang w:val="fr-FR" w:eastAsia="en-US" w:bidi="ar-SA"/>
      </w:rPr>
    </w:lvl>
    <w:lvl w:ilvl="8" w:tplc="F37EBBC0">
      <w:numFmt w:val="bullet"/>
      <w:lvlText w:val="•"/>
      <w:lvlJc w:val="left"/>
      <w:pPr>
        <w:ind w:left="7405" w:hanging="360"/>
      </w:pPr>
      <w:rPr>
        <w:rFonts w:hint="default"/>
        <w:lang w:val="fr-FR" w:eastAsia="en-US" w:bidi="ar-SA"/>
      </w:rPr>
    </w:lvl>
  </w:abstractNum>
  <w:num w:numId="1" w16cid:durableId="1739397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62026"/>
    <w:rsid w:val="005901FC"/>
    <w:rsid w:val="006E677B"/>
    <w:rsid w:val="00862026"/>
    <w:rsid w:val="00E209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CDB27"/>
  <w15:docId w15:val="{9395C844-10DF-409C-BC57-8649BED3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23"/>
      <w:jc w:val="both"/>
    </w:pPr>
  </w:style>
  <w:style w:type="paragraph" w:styleId="Titre">
    <w:name w:val="Title"/>
    <w:basedOn w:val="Normal"/>
    <w:uiPriority w:val="10"/>
    <w:qFormat/>
    <w:pPr>
      <w:ind w:left="2"/>
      <w:jc w:val="center"/>
    </w:pPr>
    <w:rPr>
      <w:rFonts w:ascii="Arial" w:eastAsia="Arial" w:hAnsi="Arial" w:cs="Arial"/>
      <w:b/>
      <w:bCs/>
      <w:sz w:val="36"/>
      <w:szCs w:val="36"/>
    </w:rPr>
  </w:style>
  <w:style w:type="paragraph" w:styleId="Paragraphedeliste">
    <w:name w:val="List Paragraph"/>
    <w:basedOn w:val="Normal"/>
    <w:uiPriority w:val="1"/>
    <w:qFormat/>
    <w:pPr>
      <w:spacing w:before="2"/>
      <w:ind w:left="743" w:right="325" w:hanging="360"/>
    </w:pPr>
    <w:rPr>
      <w:rFonts w:ascii="Arial" w:eastAsia="Arial" w:hAnsi="Arial" w:cs="Arial"/>
    </w:r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E2098C"/>
    <w:pPr>
      <w:tabs>
        <w:tab w:val="center" w:pos="4536"/>
        <w:tab w:val="right" w:pos="9072"/>
      </w:tabs>
    </w:pPr>
  </w:style>
  <w:style w:type="character" w:customStyle="1" w:styleId="En-tteCar">
    <w:name w:val="En-tête Car"/>
    <w:basedOn w:val="Policepardfaut"/>
    <w:link w:val="En-tte"/>
    <w:uiPriority w:val="99"/>
    <w:rsid w:val="00E2098C"/>
    <w:rPr>
      <w:rFonts w:ascii="Arial MT" w:eastAsia="Arial MT" w:hAnsi="Arial MT" w:cs="Arial MT"/>
      <w:lang w:val="fr-FR"/>
    </w:rPr>
  </w:style>
  <w:style w:type="paragraph" w:styleId="Pieddepage">
    <w:name w:val="footer"/>
    <w:basedOn w:val="Normal"/>
    <w:link w:val="PieddepageCar"/>
    <w:uiPriority w:val="99"/>
    <w:unhideWhenUsed/>
    <w:rsid w:val="00E2098C"/>
    <w:pPr>
      <w:tabs>
        <w:tab w:val="center" w:pos="4536"/>
        <w:tab w:val="right" w:pos="9072"/>
      </w:tabs>
    </w:pPr>
  </w:style>
  <w:style w:type="character" w:customStyle="1" w:styleId="PieddepageCar">
    <w:name w:val="Pied de page Car"/>
    <w:basedOn w:val="Policepardfaut"/>
    <w:link w:val="Pieddepage"/>
    <w:uiPriority w:val="99"/>
    <w:rsid w:val="00E2098C"/>
    <w:rPr>
      <w:rFonts w:ascii="Arial MT" w:eastAsia="Arial MT" w:hAnsi="Arial MT" w:cs="Arial MT"/>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ldtrademarkreview.com/article/euipo-and-ukipo-ranked-most-innovative-offices-in-the-world" TargetMode="External"/><Relationship Id="rId5" Type="http://schemas.openxmlformats.org/officeDocument/2006/relationships/footnotes" Target="footnotes.xml"/><Relationship Id="rId10" Type="http://schemas.openxmlformats.org/officeDocument/2006/relationships/hyperlink" Target="https://www.euipo.europa.eu/fr/observatory" TargetMode="External"/><Relationship Id="rId4" Type="http://schemas.openxmlformats.org/officeDocument/2006/relationships/webSettings" Target="webSettings.xml"/><Relationship Id="rId9" Type="http://schemas.openxmlformats.org/officeDocument/2006/relationships/hyperlink" Target="https://www.euipo.europa.eu/fr/gi-hub/ci-regul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1243</Words>
  <Characters>6841</Characters>
  <Application>Microsoft Office Word</Application>
  <DocSecurity>0</DocSecurity>
  <Lines>57</Lines>
  <Paragraphs>16</Paragraphs>
  <ScaleCrop>false</ScaleCrop>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PR_EU registers Porcelaine de Limoges as first craft and industrial geographical indication_fr.docx</dc:title>
  <dc:creator>LLORCA PÉREZ Rosa del Mar</dc:creator>
  <cp:keywords>, docId:F3E235D19C3ACFA57D51676850DB728F</cp:keywords>
  <cp:lastModifiedBy>Julie CURTO</cp:lastModifiedBy>
  <cp:revision>2</cp:revision>
  <dcterms:created xsi:type="dcterms:W3CDTF">2026-06-08T12:52:00Z</dcterms:created>
  <dcterms:modified xsi:type="dcterms:W3CDTF">2026-06-08T12:54:00Z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2026-05-15T00:00:00Z</vt:filetime>
  </property>
  <property fmtid="{D5CDD505-2E9C-101B-9397-08002B2CF9AE}" pid="3" name="Creator">
    <vt:lpwstr>Microsoft® Word for Microsoft 365</vt:lpwstr>
  </property>
  <property fmtid="{D5CDD505-2E9C-101B-9397-08002B2CF9AE}" pid="4" name="LastSaved">
    <vt:filetime>2026-06-08T00:00:00Z</vt:filetime>
  </property>
  <property fmtid="{D5CDD505-2E9C-101B-9397-08002B2CF9AE}" pid="5" name="Producer">
    <vt:lpwstr>pdf-lib (https://github.com/Hopding/pdf-lib)</vt:lpwstr>
  </property>
</Properties>
</file>